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45" w:type="dxa"/>
          </w:tcPr>
          <w:p>
            <w:pPr>
              <w:pStyle w:val="19"/>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35.030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4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M10</w:t>
            </w:r>
            <w:r>
              <w:rPr>
                <w:rFonts w:ascii="黑体" w:hAnsi="黑体" w:eastAsia="黑体"/>
                <w:sz w:val="21"/>
                <w:szCs w:val="21"/>
              </w:rPr>
              <w:fldChar w:fldCharType="end"/>
            </w:r>
            <w:bookmarkEnd w:id="1"/>
          </w:p>
        </w:tc>
      </w:tr>
    </w:tbl>
    <w:p>
      <w:pPr>
        <w:pStyle w:val="53"/>
        <w:framePr w:w="9639" w:h="624" w:hRule="exact" w:hSpace="181" w:vSpace="181" w:hAnchor="page" w:x="1305" w:y="2269"/>
      </w:pPr>
      <w:bookmarkStart w:id="2" w:name="_Hlk26473981"/>
      <w:r>
        <w:rPr>
          <w:rFonts w:hint="eastAsia"/>
        </w:rPr>
        <w:t>中华人民共和国国家标准</w:t>
      </w:r>
    </w:p>
    <w:bookmarkEnd w:id="2"/>
    <w:p>
      <w:pPr>
        <w:pStyle w:val="198"/>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pPr>
        <w:pStyle w:val="199"/>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pPr>
        <w:pStyle w:val="53"/>
        <w:framePr w:w="9639" w:h="6976" w:hRule="exact" w:hSpace="0" w:vSpace="0" w:hAnchor="page" w:y="6408"/>
        <w:jc w:val="center"/>
        <w:rPr>
          <w:rFonts w:ascii="黑体" w:hAnsi="黑体" w:eastAsia="黑体"/>
          <w:b w:val="0"/>
          <w:bCs w:val="0"/>
          <w:w w:val="100"/>
        </w:rPr>
      </w:pPr>
    </w:p>
    <w:p>
      <w:pPr>
        <w:pStyle w:val="200"/>
        <w:framePr w:h="6974" w:hRule="exact" w:x="1419" w:anchorLock="1"/>
      </w:pPr>
      <w:r>
        <w:fldChar w:fldCharType="begin">
          <w:ffData>
            <w:name w:val="CSTD_NAME"/>
            <w:enabled/>
            <w:calcOnExit w:val="0"/>
            <w:textInput>
              <w:default w:val="工业互联网企业网络安全：第一部分 应用工业互联网的工业企业网络安全防护要求"/>
            </w:textInput>
          </w:ffData>
        </w:fldChar>
      </w:r>
      <w:bookmarkStart w:id="7" w:name="CSTD_NAME"/>
      <w:r>
        <w:instrText xml:space="preserve"> FORMTEXT </w:instrText>
      </w:r>
      <w:r>
        <w:fldChar w:fldCharType="separate"/>
      </w:r>
      <w:r>
        <w:t>工业互联网企业网络安全：第一部分 应用工业互联网的工业企业防护要求</w:t>
      </w:r>
      <w:r>
        <w:fldChar w:fldCharType="end"/>
      </w:r>
      <w:bookmarkEnd w:id="7"/>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Industrial Internet enterprise network security: Part I Baseline for cybersecurity protection of Internet Industrial Enterprise"/>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Industrial Internet enterprise network security: Part I Baseline for cybersecurity protection of Internet Industrial Enterprise</w:t>
      </w:r>
      <w:r>
        <w:rPr>
          <w:rFonts w:eastAsia="黑体"/>
          <w:szCs w:val="28"/>
        </w:rPr>
        <w:fldChar w:fldCharType="end"/>
      </w:r>
      <w:bookmarkEnd w:id="8"/>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hint="eastAsia" w:eastAsia="黑体"/>
          <w:szCs w:val="28"/>
          <w:lang w:eastAsia="zh-CN"/>
        </w:rPr>
        <w:t>)</w:t>
      </w:r>
      <w:r>
        <w:rPr>
          <w:rFonts w:eastAsia="黑体"/>
          <w:szCs w:val="28"/>
        </w:rPr>
        <w:fldChar w:fldCharType="end"/>
      </w:r>
      <w:bookmarkEnd w:id="9"/>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（完成时间：2</w:t>
      </w:r>
      <w:r>
        <w:rPr>
          <w:sz w:val="21"/>
          <w:szCs w:val="28"/>
        </w:rPr>
        <w:t>022</w:t>
      </w:r>
      <w:r>
        <w:rPr>
          <w:rFonts w:hint="eastAsia"/>
          <w:sz w:val="21"/>
          <w:szCs w:val="28"/>
        </w:rPr>
        <w:t>-</w:t>
      </w:r>
      <w:r>
        <w:rPr>
          <w:sz w:val="21"/>
          <w:szCs w:val="28"/>
        </w:rPr>
        <w:t>0</w:t>
      </w:r>
      <w:r>
        <w:rPr>
          <w:rFonts w:hint="eastAsia"/>
          <w:sz w:val="21"/>
          <w:szCs w:val="28"/>
          <w:lang w:val="en-US" w:eastAsia="zh-CN"/>
        </w:rPr>
        <w:t>8</w:t>
      </w:r>
      <w:r>
        <w:rPr>
          <w:rFonts w:hint="eastAsia"/>
          <w:sz w:val="21"/>
          <w:szCs w:val="28"/>
        </w:rPr>
        <w:t>-</w:t>
      </w:r>
      <w:r>
        <w:rPr>
          <w:rFonts w:hint="eastAsia"/>
          <w:sz w:val="21"/>
          <w:szCs w:val="28"/>
          <w:lang w:val="en-US" w:eastAsia="zh-CN"/>
        </w:rPr>
        <w:t>20</w:t>
      </w:r>
      <w:r>
        <w:rPr>
          <w:rFonts w:hint="eastAsia"/>
          <w:sz w:val="21"/>
          <w:szCs w:val="28"/>
        </w:rPr>
        <w:t>）</w:t>
      </w:r>
      <w:r>
        <w:rPr>
          <w:sz w:val="21"/>
          <w:szCs w:val="28"/>
        </w:rPr>
        <w:fldChar w:fldCharType="end"/>
      </w:r>
      <w:bookmarkEnd w:id="11"/>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6"/>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7"/>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4"/>
        <w:spacing w:after="468"/>
      </w:pPr>
      <w:bookmarkStart w:id="19" w:name="BookMark1"/>
      <w:r>
        <w:rPr>
          <w:rFonts w:hint="eastAsia"/>
          <w:spacing w:val="320"/>
        </w:rPr>
        <w:t>目</w:t>
      </w:r>
      <w:r>
        <w:rPr>
          <w:rFonts w:hint="eastAsia"/>
        </w:rPr>
        <w:t>次</w:t>
      </w:r>
    </w:p>
    <w:p>
      <w:pPr>
        <w:pStyle w:val="94"/>
        <w:spacing w:after="468"/>
      </w:pPr>
    </w:p>
    <w:sdt>
      <w:sdtPr>
        <w:rPr>
          <w:rFonts w:ascii="宋体" w:hAnsi="宋体" w:eastAsia="宋体" w:cs="Times New Roman"/>
          <w:kern w:val="2"/>
          <w:sz w:val="21"/>
          <w:szCs w:val="21"/>
          <w:lang w:val="en-US" w:eastAsia="zh-CN" w:bidi="ar-SA"/>
        </w:rPr>
        <w:id w:val="147481403"/>
        <w15:color w:val="DBDBDB"/>
        <w:docPartObj>
          <w:docPartGallery w:val="Table of Contents"/>
          <w:docPartUnique/>
        </w:docPartObj>
      </w:sdtPr>
      <w:sdtEndPr>
        <w:rPr>
          <w:rFonts w:ascii="黑体" w:hAnsi="Calibri" w:eastAsia="黑体" w:cs="Times New Roman"/>
          <w:kern w:val="2"/>
          <w:sz w:val="32"/>
          <w:szCs w:val="21"/>
          <w:lang w:val="en-US" w:eastAsia="zh-CN" w:bidi="ar-SA"/>
        </w:rPr>
      </w:sdtEndPr>
      <w:sdtContent>
        <w:p>
          <w:pPr>
            <w:spacing w:before="0" w:beforeLines="0" w:after="0" w:afterLines="0" w:line="240" w:lineRule="auto"/>
            <w:ind w:left="0" w:leftChars="0" w:right="0" w:rightChars="0" w:firstLine="0" w:firstLineChars="0"/>
            <w:jc w:val="center"/>
          </w:pPr>
          <w:r>
            <w:fldChar w:fldCharType="begin"/>
          </w:r>
          <w:r>
            <w:instrText xml:space="preserve">TOC \o "1-1" \h \u </w:instrText>
          </w:r>
          <w:r>
            <w:fldChar w:fldCharType="separate"/>
          </w:r>
        </w:p>
        <w:p>
          <w:pPr>
            <w:pStyle w:val="20"/>
            <w:tabs>
              <w:tab w:val="right" w:leader="dot" w:pos="9354"/>
            </w:tabs>
            <w:rPr>
              <w:sz w:val="22"/>
              <w:szCs w:val="22"/>
            </w:rPr>
          </w:pPr>
          <w:r>
            <w:rPr>
              <w:sz w:val="22"/>
              <w:szCs w:val="22"/>
            </w:rPr>
            <w:fldChar w:fldCharType="begin"/>
          </w:r>
          <w:r>
            <w:rPr>
              <w:sz w:val="22"/>
              <w:szCs w:val="22"/>
            </w:rPr>
            <w:instrText xml:space="preserve"> HYPERLINK \l _Toc5141 </w:instrText>
          </w:r>
          <w:r>
            <w:rPr>
              <w:sz w:val="22"/>
              <w:szCs w:val="22"/>
            </w:rPr>
            <w:fldChar w:fldCharType="separate"/>
          </w:r>
          <w:r>
            <w:rPr>
              <w:rFonts w:hint="eastAsia" w:ascii="黑体" w:eastAsia="黑体"/>
              <w:i w:val="0"/>
              <w:sz w:val="22"/>
              <w:szCs w:val="22"/>
            </w:rPr>
            <w:t xml:space="preserve">1 </w:t>
          </w:r>
          <w:r>
            <w:rPr>
              <w:rFonts w:hint="eastAsia"/>
              <w:sz w:val="22"/>
              <w:szCs w:val="22"/>
            </w:rPr>
            <w:t>范围</w:t>
          </w:r>
          <w:r>
            <w:rPr>
              <w:sz w:val="22"/>
              <w:szCs w:val="22"/>
            </w:rPr>
            <w:tab/>
          </w:r>
          <w:r>
            <w:rPr>
              <w:sz w:val="22"/>
              <w:szCs w:val="22"/>
            </w:rPr>
            <w:fldChar w:fldCharType="begin"/>
          </w:r>
          <w:r>
            <w:rPr>
              <w:sz w:val="22"/>
              <w:szCs w:val="22"/>
            </w:rPr>
            <w:instrText xml:space="preserve"> PAGEREF _Toc5141 \h </w:instrText>
          </w:r>
          <w:r>
            <w:rPr>
              <w:sz w:val="22"/>
              <w:szCs w:val="22"/>
            </w:rPr>
            <w:fldChar w:fldCharType="separate"/>
          </w:r>
          <w:r>
            <w:rPr>
              <w:sz w:val="22"/>
              <w:szCs w:val="22"/>
            </w:rPr>
            <w:t>1</w:t>
          </w:r>
          <w:r>
            <w:rPr>
              <w:sz w:val="22"/>
              <w:szCs w:val="22"/>
            </w:rPr>
            <w:fldChar w:fldCharType="end"/>
          </w:r>
          <w:r>
            <w:rPr>
              <w:sz w:val="22"/>
              <w:szCs w:val="22"/>
            </w:rPr>
            <w:fldChar w:fldCharType="end"/>
          </w:r>
        </w:p>
        <w:p>
          <w:pPr>
            <w:pStyle w:val="20"/>
            <w:tabs>
              <w:tab w:val="right" w:leader="dot" w:pos="9354"/>
            </w:tabs>
            <w:rPr>
              <w:sz w:val="22"/>
              <w:szCs w:val="22"/>
            </w:rPr>
          </w:pPr>
          <w:r>
            <w:rPr>
              <w:sz w:val="22"/>
              <w:szCs w:val="22"/>
            </w:rPr>
            <w:fldChar w:fldCharType="begin"/>
          </w:r>
          <w:r>
            <w:rPr>
              <w:sz w:val="22"/>
              <w:szCs w:val="22"/>
            </w:rPr>
            <w:instrText xml:space="preserve"> HYPERLINK \l _Toc21618 </w:instrText>
          </w:r>
          <w:r>
            <w:rPr>
              <w:sz w:val="22"/>
              <w:szCs w:val="22"/>
            </w:rPr>
            <w:fldChar w:fldCharType="separate"/>
          </w:r>
          <w:r>
            <w:rPr>
              <w:rFonts w:hint="eastAsia" w:ascii="黑体" w:eastAsia="黑体"/>
              <w:i w:val="0"/>
              <w:sz w:val="22"/>
              <w:szCs w:val="22"/>
            </w:rPr>
            <w:t xml:space="preserve">2 </w:t>
          </w:r>
          <w:r>
            <w:rPr>
              <w:rFonts w:hint="eastAsia"/>
              <w:sz w:val="22"/>
              <w:szCs w:val="22"/>
            </w:rPr>
            <w:t>规范性引用文件</w:t>
          </w:r>
          <w:r>
            <w:rPr>
              <w:sz w:val="22"/>
              <w:szCs w:val="22"/>
            </w:rPr>
            <w:tab/>
          </w:r>
          <w:r>
            <w:rPr>
              <w:sz w:val="22"/>
              <w:szCs w:val="22"/>
            </w:rPr>
            <w:fldChar w:fldCharType="begin"/>
          </w:r>
          <w:r>
            <w:rPr>
              <w:sz w:val="22"/>
              <w:szCs w:val="22"/>
            </w:rPr>
            <w:instrText xml:space="preserve"> PAGEREF _Toc21618 \h </w:instrText>
          </w:r>
          <w:r>
            <w:rPr>
              <w:sz w:val="22"/>
              <w:szCs w:val="22"/>
            </w:rPr>
            <w:fldChar w:fldCharType="separate"/>
          </w:r>
          <w:r>
            <w:rPr>
              <w:sz w:val="22"/>
              <w:szCs w:val="22"/>
            </w:rPr>
            <w:t>1</w:t>
          </w:r>
          <w:r>
            <w:rPr>
              <w:sz w:val="22"/>
              <w:szCs w:val="22"/>
            </w:rPr>
            <w:fldChar w:fldCharType="end"/>
          </w:r>
          <w:r>
            <w:rPr>
              <w:sz w:val="22"/>
              <w:szCs w:val="22"/>
            </w:rPr>
            <w:fldChar w:fldCharType="end"/>
          </w:r>
        </w:p>
        <w:p>
          <w:pPr>
            <w:pStyle w:val="20"/>
            <w:tabs>
              <w:tab w:val="right" w:leader="dot" w:pos="9354"/>
            </w:tabs>
            <w:rPr>
              <w:sz w:val="22"/>
              <w:szCs w:val="22"/>
            </w:rPr>
          </w:pPr>
          <w:r>
            <w:rPr>
              <w:sz w:val="22"/>
              <w:szCs w:val="22"/>
            </w:rPr>
            <w:fldChar w:fldCharType="begin"/>
          </w:r>
          <w:r>
            <w:rPr>
              <w:sz w:val="22"/>
              <w:szCs w:val="22"/>
            </w:rPr>
            <w:instrText xml:space="preserve"> HYPERLINK \l _Toc2079 </w:instrText>
          </w:r>
          <w:r>
            <w:rPr>
              <w:sz w:val="22"/>
              <w:szCs w:val="22"/>
            </w:rPr>
            <w:fldChar w:fldCharType="separate"/>
          </w:r>
          <w:r>
            <w:rPr>
              <w:rFonts w:hint="eastAsia" w:ascii="黑体" w:eastAsia="黑体"/>
              <w:i w:val="0"/>
              <w:sz w:val="22"/>
              <w:szCs w:val="22"/>
            </w:rPr>
            <w:t xml:space="preserve">3 </w:t>
          </w:r>
          <w:r>
            <w:rPr>
              <w:rFonts w:hint="eastAsia"/>
              <w:sz w:val="22"/>
              <w:szCs w:val="22"/>
            </w:rPr>
            <w:t>术语和定义</w:t>
          </w:r>
          <w:r>
            <w:rPr>
              <w:sz w:val="22"/>
              <w:szCs w:val="22"/>
            </w:rPr>
            <w:tab/>
          </w:r>
          <w:r>
            <w:rPr>
              <w:sz w:val="22"/>
              <w:szCs w:val="22"/>
            </w:rPr>
            <w:fldChar w:fldCharType="begin"/>
          </w:r>
          <w:r>
            <w:rPr>
              <w:sz w:val="22"/>
              <w:szCs w:val="22"/>
            </w:rPr>
            <w:instrText xml:space="preserve"> PAGEREF _Toc2079 \h </w:instrText>
          </w:r>
          <w:r>
            <w:rPr>
              <w:sz w:val="22"/>
              <w:szCs w:val="22"/>
            </w:rPr>
            <w:fldChar w:fldCharType="separate"/>
          </w:r>
          <w:r>
            <w:rPr>
              <w:sz w:val="22"/>
              <w:szCs w:val="22"/>
            </w:rPr>
            <w:t>1</w:t>
          </w:r>
          <w:r>
            <w:rPr>
              <w:sz w:val="22"/>
              <w:szCs w:val="22"/>
            </w:rPr>
            <w:fldChar w:fldCharType="end"/>
          </w:r>
          <w:r>
            <w:rPr>
              <w:sz w:val="22"/>
              <w:szCs w:val="22"/>
            </w:rPr>
            <w:fldChar w:fldCharType="end"/>
          </w:r>
        </w:p>
        <w:p>
          <w:pPr>
            <w:pStyle w:val="20"/>
            <w:tabs>
              <w:tab w:val="right" w:leader="dot" w:pos="9354"/>
            </w:tabs>
            <w:rPr>
              <w:sz w:val="22"/>
              <w:szCs w:val="22"/>
            </w:rPr>
          </w:pPr>
          <w:r>
            <w:rPr>
              <w:sz w:val="22"/>
              <w:szCs w:val="22"/>
            </w:rPr>
            <w:fldChar w:fldCharType="begin"/>
          </w:r>
          <w:r>
            <w:rPr>
              <w:sz w:val="22"/>
              <w:szCs w:val="22"/>
            </w:rPr>
            <w:instrText xml:space="preserve"> HYPERLINK \l _Toc5882 </w:instrText>
          </w:r>
          <w:r>
            <w:rPr>
              <w:sz w:val="22"/>
              <w:szCs w:val="22"/>
            </w:rPr>
            <w:fldChar w:fldCharType="separate"/>
          </w:r>
          <w:r>
            <w:rPr>
              <w:rFonts w:hint="eastAsia" w:ascii="黑体" w:eastAsia="黑体"/>
              <w:i w:val="0"/>
              <w:sz w:val="22"/>
              <w:szCs w:val="28"/>
              <w:lang w:val="de-DE"/>
            </w:rPr>
            <w:t xml:space="preserve">4 </w:t>
          </w:r>
          <w:r>
            <w:rPr>
              <w:rFonts w:hint="eastAsia" w:ascii="Times New Roman"/>
              <w:sz w:val="22"/>
              <w:szCs w:val="28"/>
              <w:lang w:val="de-DE"/>
            </w:rPr>
            <w:t>缩略语</w:t>
          </w:r>
          <w:r>
            <w:rPr>
              <w:sz w:val="22"/>
              <w:szCs w:val="22"/>
            </w:rPr>
            <w:tab/>
          </w:r>
          <w:r>
            <w:rPr>
              <w:sz w:val="22"/>
              <w:szCs w:val="22"/>
            </w:rPr>
            <w:fldChar w:fldCharType="begin"/>
          </w:r>
          <w:r>
            <w:rPr>
              <w:sz w:val="22"/>
              <w:szCs w:val="22"/>
            </w:rPr>
            <w:instrText xml:space="preserve"> PAGEREF _Toc5882 \h </w:instrText>
          </w:r>
          <w:r>
            <w:rPr>
              <w:sz w:val="22"/>
              <w:szCs w:val="22"/>
            </w:rPr>
            <w:fldChar w:fldCharType="separate"/>
          </w:r>
          <w:r>
            <w:rPr>
              <w:sz w:val="22"/>
              <w:szCs w:val="22"/>
            </w:rPr>
            <w:t>1</w:t>
          </w:r>
          <w:r>
            <w:rPr>
              <w:sz w:val="22"/>
              <w:szCs w:val="22"/>
            </w:rPr>
            <w:fldChar w:fldCharType="end"/>
          </w:r>
          <w:r>
            <w:rPr>
              <w:sz w:val="22"/>
              <w:szCs w:val="22"/>
            </w:rPr>
            <w:fldChar w:fldCharType="end"/>
          </w:r>
        </w:p>
        <w:p>
          <w:pPr>
            <w:pStyle w:val="20"/>
            <w:tabs>
              <w:tab w:val="right" w:leader="dot" w:pos="9354"/>
            </w:tabs>
            <w:rPr>
              <w:sz w:val="22"/>
              <w:szCs w:val="22"/>
            </w:rPr>
          </w:pPr>
          <w:r>
            <w:rPr>
              <w:sz w:val="22"/>
              <w:szCs w:val="22"/>
            </w:rPr>
            <w:fldChar w:fldCharType="begin"/>
          </w:r>
          <w:r>
            <w:rPr>
              <w:sz w:val="22"/>
              <w:szCs w:val="22"/>
            </w:rPr>
            <w:instrText xml:space="preserve"> HYPERLINK \l _Toc5169 </w:instrText>
          </w:r>
          <w:r>
            <w:rPr>
              <w:sz w:val="22"/>
              <w:szCs w:val="22"/>
            </w:rPr>
            <w:fldChar w:fldCharType="separate"/>
          </w:r>
          <w:r>
            <w:rPr>
              <w:rFonts w:hint="eastAsia" w:ascii="黑体" w:hAnsi="黑体" w:eastAsia="黑体"/>
              <w:i w:val="0"/>
              <w:sz w:val="22"/>
              <w:szCs w:val="22"/>
            </w:rPr>
            <w:t xml:space="preserve">5 </w:t>
          </w:r>
          <w:r>
            <w:rPr>
              <w:rFonts w:hint="eastAsia" w:hAnsi="黑体"/>
              <w:sz w:val="22"/>
              <w:szCs w:val="22"/>
            </w:rPr>
            <w:t>应用工业互联网的工业企业网络安全防护内容</w:t>
          </w:r>
          <w:r>
            <w:rPr>
              <w:sz w:val="22"/>
              <w:szCs w:val="22"/>
            </w:rPr>
            <w:tab/>
          </w:r>
          <w:r>
            <w:rPr>
              <w:sz w:val="22"/>
              <w:szCs w:val="22"/>
            </w:rPr>
            <w:fldChar w:fldCharType="begin"/>
          </w:r>
          <w:r>
            <w:rPr>
              <w:sz w:val="22"/>
              <w:szCs w:val="22"/>
            </w:rPr>
            <w:instrText xml:space="preserve"> PAGEREF _Toc5169 \h </w:instrText>
          </w:r>
          <w:r>
            <w:rPr>
              <w:sz w:val="22"/>
              <w:szCs w:val="22"/>
            </w:rPr>
            <w:fldChar w:fldCharType="separate"/>
          </w:r>
          <w:r>
            <w:rPr>
              <w:sz w:val="22"/>
              <w:szCs w:val="22"/>
            </w:rPr>
            <w:t>2</w:t>
          </w:r>
          <w:r>
            <w:rPr>
              <w:sz w:val="22"/>
              <w:szCs w:val="22"/>
            </w:rPr>
            <w:fldChar w:fldCharType="end"/>
          </w:r>
          <w:r>
            <w:rPr>
              <w:sz w:val="22"/>
              <w:szCs w:val="22"/>
            </w:rPr>
            <w:fldChar w:fldCharType="end"/>
          </w:r>
        </w:p>
        <w:p>
          <w:pPr>
            <w:pStyle w:val="20"/>
            <w:tabs>
              <w:tab w:val="right" w:leader="dot" w:pos="9354"/>
            </w:tabs>
            <w:rPr>
              <w:sz w:val="22"/>
              <w:szCs w:val="22"/>
            </w:rPr>
          </w:pPr>
          <w:r>
            <w:rPr>
              <w:sz w:val="22"/>
              <w:szCs w:val="22"/>
            </w:rPr>
            <w:fldChar w:fldCharType="begin"/>
          </w:r>
          <w:r>
            <w:rPr>
              <w:sz w:val="22"/>
              <w:szCs w:val="22"/>
            </w:rPr>
            <w:instrText xml:space="preserve"> HYPERLINK \l _Toc26856 </w:instrText>
          </w:r>
          <w:r>
            <w:rPr>
              <w:sz w:val="22"/>
              <w:szCs w:val="22"/>
            </w:rPr>
            <w:fldChar w:fldCharType="separate"/>
          </w:r>
          <w:r>
            <w:rPr>
              <w:rFonts w:hint="eastAsia" w:ascii="黑体" w:hAnsi="黑体" w:eastAsia="黑体"/>
              <w:i w:val="0"/>
              <w:sz w:val="22"/>
              <w:szCs w:val="22"/>
            </w:rPr>
            <w:t xml:space="preserve">6 </w:t>
          </w:r>
          <w:r>
            <w:rPr>
              <w:rFonts w:hAnsi="黑体"/>
              <w:sz w:val="22"/>
              <w:szCs w:val="22"/>
            </w:rPr>
            <w:t>应用工业互联网的工业企业</w:t>
          </w:r>
          <w:r>
            <w:rPr>
              <w:rFonts w:hint="eastAsia" w:hAnsi="黑体"/>
              <w:sz w:val="22"/>
              <w:szCs w:val="22"/>
            </w:rPr>
            <w:t>网络</w:t>
          </w:r>
          <w:r>
            <w:rPr>
              <w:rFonts w:hAnsi="黑体"/>
              <w:sz w:val="22"/>
              <w:szCs w:val="22"/>
            </w:rPr>
            <w:t>安全防护级别的确定</w:t>
          </w:r>
          <w:r>
            <w:rPr>
              <w:sz w:val="22"/>
              <w:szCs w:val="22"/>
            </w:rPr>
            <w:tab/>
          </w:r>
          <w:r>
            <w:rPr>
              <w:sz w:val="22"/>
              <w:szCs w:val="22"/>
            </w:rPr>
            <w:fldChar w:fldCharType="begin"/>
          </w:r>
          <w:r>
            <w:rPr>
              <w:sz w:val="22"/>
              <w:szCs w:val="22"/>
            </w:rPr>
            <w:instrText xml:space="preserve"> PAGEREF _Toc26856 \h </w:instrText>
          </w:r>
          <w:r>
            <w:rPr>
              <w:sz w:val="22"/>
              <w:szCs w:val="22"/>
            </w:rPr>
            <w:fldChar w:fldCharType="separate"/>
          </w:r>
          <w:r>
            <w:rPr>
              <w:sz w:val="22"/>
              <w:szCs w:val="22"/>
            </w:rPr>
            <w:t>2</w:t>
          </w:r>
          <w:r>
            <w:rPr>
              <w:sz w:val="22"/>
              <w:szCs w:val="22"/>
            </w:rPr>
            <w:fldChar w:fldCharType="end"/>
          </w:r>
          <w:r>
            <w:rPr>
              <w:sz w:val="22"/>
              <w:szCs w:val="22"/>
            </w:rPr>
            <w:fldChar w:fldCharType="end"/>
          </w:r>
        </w:p>
        <w:p>
          <w:pPr>
            <w:pStyle w:val="20"/>
            <w:tabs>
              <w:tab w:val="right" w:leader="dot" w:pos="9354"/>
            </w:tabs>
            <w:rPr>
              <w:sz w:val="22"/>
              <w:szCs w:val="22"/>
            </w:rPr>
          </w:pPr>
          <w:r>
            <w:rPr>
              <w:sz w:val="22"/>
              <w:szCs w:val="22"/>
            </w:rPr>
            <w:fldChar w:fldCharType="begin"/>
          </w:r>
          <w:r>
            <w:rPr>
              <w:sz w:val="22"/>
              <w:szCs w:val="22"/>
            </w:rPr>
            <w:instrText xml:space="preserve"> HYPERLINK \l _Toc26783 </w:instrText>
          </w:r>
          <w:r>
            <w:rPr>
              <w:sz w:val="22"/>
              <w:szCs w:val="22"/>
            </w:rPr>
            <w:fldChar w:fldCharType="separate"/>
          </w:r>
          <w:r>
            <w:rPr>
              <w:rFonts w:hint="eastAsia" w:ascii="黑体" w:hAnsi="黑体" w:eastAsia="黑体"/>
              <w:i w:val="0"/>
              <w:sz w:val="22"/>
              <w:szCs w:val="22"/>
            </w:rPr>
            <w:t xml:space="preserve">7 </w:t>
          </w:r>
          <w:r>
            <w:rPr>
              <w:rFonts w:hAnsi="黑体"/>
              <w:sz w:val="22"/>
              <w:szCs w:val="22"/>
            </w:rPr>
            <w:t>应用工业互联网的工业企业</w:t>
          </w:r>
          <w:r>
            <w:rPr>
              <w:rFonts w:hint="eastAsia" w:hAnsi="黑体"/>
              <w:sz w:val="22"/>
              <w:szCs w:val="22"/>
            </w:rPr>
            <w:t>网络</w:t>
          </w:r>
          <w:r>
            <w:rPr>
              <w:rFonts w:hAnsi="黑体"/>
              <w:sz w:val="22"/>
              <w:szCs w:val="22"/>
            </w:rPr>
            <w:t>安全防护要求</w:t>
          </w:r>
          <w:r>
            <w:rPr>
              <w:sz w:val="22"/>
              <w:szCs w:val="22"/>
            </w:rPr>
            <w:tab/>
          </w:r>
          <w:r>
            <w:rPr>
              <w:sz w:val="22"/>
              <w:szCs w:val="22"/>
            </w:rPr>
            <w:fldChar w:fldCharType="begin"/>
          </w:r>
          <w:r>
            <w:rPr>
              <w:sz w:val="22"/>
              <w:szCs w:val="22"/>
            </w:rPr>
            <w:instrText xml:space="preserve"> PAGEREF _Toc26783 \h </w:instrText>
          </w:r>
          <w:r>
            <w:rPr>
              <w:sz w:val="22"/>
              <w:szCs w:val="22"/>
            </w:rPr>
            <w:fldChar w:fldCharType="separate"/>
          </w:r>
          <w:r>
            <w:rPr>
              <w:sz w:val="22"/>
              <w:szCs w:val="22"/>
            </w:rPr>
            <w:t>2</w:t>
          </w:r>
          <w:r>
            <w:rPr>
              <w:sz w:val="22"/>
              <w:szCs w:val="22"/>
            </w:rPr>
            <w:fldChar w:fldCharType="end"/>
          </w:r>
          <w:r>
            <w:rPr>
              <w:sz w:val="22"/>
              <w:szCs w:val="22"/>
            </w:rPr>
            <w:fldChar w:fldCharType="end"/>
          </w:r>
        </w:p>
        <w:p>
          <w:pPr>
            <w:pStyle w:val="9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sdtContent>
    </w:sdt>
    <w:bookmarkEnd w:id="19"/>
    <w:p>
      <w:pPr>
        <w:pStyle w:val="92"/>
        <w:spacing w:after="468"/>
      </w:pPr>
      <w:bookmarkStart w:id="20" w:name="_Toc28529"/>
      <w:bookmarkStart w:id="21" w:name="_Toc10998"/>
      <w:bookmarkStart w:id="22" w:name="_Toc24645"/>
      <w:bookmarkStart w:id="23" w:name="BookMark2"/>
      <w:r>
        <w:rPr>
          <w:spacing w:val="320"/>
        </w:rPr>
        <w:t>前</w:t>
      </w:r>
      <w:r>
        <w:t>言</w:t>
      </w:r>
      <w:bookmarkEnd w:id="20"/>
      <w:bookmarkEnd w:id="21"/>
      <w:bookmarkEnd w:id="22"/>
    </w:p>
    <w:p>
      <w:pPr>
        <w:pStyle w:val="59"/>
        <w:ind w:firstLine="420"/>
      </w:pPr>
      <w:r>
        <w:rPr>
          <w:rFonts w:hint="eastAsia"/>
        </w:rPr>
        <w:t>本文件按照GB/T 1.1—2020《标准化工作导则  第1部分：标准化文件的结构和起草规则》的规定起草。</w:t>
      </w:r>
    </w:p>
    <w:p>
      <w:pPr>
        <w:pStyle w:val="59"/>
        <w:ind w:firstLine="420"/>
        <w:rPr>
          <w:rFonts w:ascii="Times New Roman"/>
        </w:rPr>
      </w:pPr>
      <w:r>
        <w:rPr>
          <w:rFonts w:ascii="Times New Roman"/>
        </w:rPr>
        <w:t>请注意本文件的某些内容可能涉及专利。本文件的发布机构不承担识别专利的责任。</w:t>
      </w:r>
    </w:p>
    <w:p>
      <w:pPr>
        <w:pStyle w:val="232"/>
        <w:rPr>
          <w:rFonts w:ascii="Times New Roman"/>
        </w:rPr>
      </w:pPr>
      <w:r>
        <w:rPr>
          <w:rFonts w:ascii="Times New Roman"/>
        </w:rPr>
        <w:t>本文件由</w:t>
      </w:r>
      <w:r>
        <w:rPr>
          <w:rFonts w:hint="eastAsia"/>
        </w:rPr>
        <w:t>全国通信标准化技术委员会（SAC/TC</w:t>
      </w:r>
      <w:r>
        <w:t>485</w:t>
      </w:r>
      <w:r>
        <w:rPr>
          <w:rFonts w:hint="eastAsia"/>
        </w:rPr>
        <w:t>）</w:t>
      </w:r>
      <w:r>
        <w:rPr>
          <w:rFonts w:ascii="Times New Roman"/>
        </w:rPr>
        <w:t>归口。</w:t>
      </w:r>
    </w:p>
    <w:p>
      <w:pPr>
        <w:pStyle w:val="59"/>
        <w:ind w:firstLine="420"/>
        <w:rPr>
          <w:highlight w:val="yellow"/>
        </w:rPr>
      </w:pPr>
      <w:r>
        <w:rPr>
          <w:rFonts w:ascii="Times New Roman"/>
        </w:rPr>
        <w:t>本文件</w:t>
      </w:r>
      <w:r>
        <w:rPr>
          <w:rFonts w:ascii="Times New Roman"/>
          <w:highlight w:val="none"/>
        </w:rPr>
        <w:t>起草单位：</w:t>
      </w:r>
      <w:r>
        <w:rPr>
          <w:rFonts w:hint="eastAsia"/>
          <w:highlight w:val="none"/>
        </w:rPr>
        <w:t>X</w:t>
      </w:r>
      <w:r>
        <w:rPr>
          <w:highlight w:val="none"/>
        </w:rPr>
        <w:t>XX</w:t>
      </w:r>
    </w:p>
    <w:p>
      <w:pPr>
        <w:pStyle w:val="59"/>
        <w:ind w:firstLine="420"/>
      </w:pPr>
      <w:r>
        <w:rPr>
          <w:rFonts w:hint="eastAsia"/>
        </w:rPr>
        <w:t>本文件主要起草人：X</w:t>
      </w:r>
      <w:r>
        <w:t>XX</w:t>
      </w:r>
    </w:p>
    <w:p>
      <w:pPr>
        <w:pStyle w:val="59"/>
        <w:ind w:firstLine="420"/>
      </w:pPr>
    </w:p>
    <w:p>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6854EA52A11D4E3D9AB70A2A110234E9"/>
        </w:placeholder>
      </w:sdtPr>
      <w:sdtContent>
        <w:p>
          <w:pPr>
            <w:pStyle w:val="180"/>
            <w:spacing w:before="312" w:beforeLines="100" w:after="686" w:afterLines="220"/>
          </w:pPr>
          <w:bookmarkStart w:id="25" w:name="NEW_STAND_NAME"/>
          <w:r>
            <w:rPr>
              <w:rFonts w:hint="eastAsia"/>
            </w:rPr>
            <w:t>工业互联网企业网络安全：第一部分 应用工业互联网的工业企业防护要求</w:t>
          </w:r>
        </w:p>
      </w:sdtContent>
    </w:sdt>
    <w:bookmarkEnd w:id="25"/>
    <w:p>
      <w:pPr>
        <w:pStyle w:val="107"/>
        <w:spacing w:before="312" w:after="312"/>
      </w:pPr>
      <w:bookmarkStart w:id="26" w:name="_Toc1170"/>
      <w:bookmarkStart w:id="27" w:name="_Toc26986771"/>
      <w:bookmarkStart w:id="28" w:name="_Toc24884211"/>
      <w:bookmarkStart w:id="29" w:name="_Toc5141"/>
      <w:bookmarkStart w:id="30" w:name="_Toc97190718"/>
      <w:bookmarkStart w:id="31" w:name="_Toc26648465"/>
      <w:bookmarkStart w:id="32" w:name="_Toc26718930"/>
      <w:bookmarkStart w:id="33" w:name="_Toc17233333"/>
      <w:bookmarkStart w:id="34" w:name="_Toc24884218"/>
      <w:bookmarkStart w:id="35" w:name="_Toc26986530"/>
      <w:bookmarkStart w:id="36" w:name="_Toc17233325"/>
      <w:r>
        <w:rPr>
          <w:rFonts w:hint="eastAsia"/>
        </w:rPr>
        <w:t>范围</w:t>
      </w:r>
      <w:bookmarkEnd w:id="26"/>
      <w:bookmarkEnd w:id="27"/>
      <w:bookmarkEnd w:id="28"/>
      <w:bookmarkEnd w:id="29"/>
      <w:bookmarkEnd w:id="30"/>
      <w:bookmarkEnd w:id="31"/>
      <w:bookmarkEnd w:id="32"/>
      <w:bookmarkEnd w:id="33"/>
      <w:bookmarkEnd w:id="34"/>
      <w:bookmarkEnd w:id="35"/>
      <w:bookmarkEnd w:id="36"/>
    </w:p>
    <w:p>
      <w:pPr>
        <w:pStyle w:val="59"/>
        <w:ind w:firstLine="420"/>
      </w:pPr>
      <w:bookmarkStart w:id="37" w:name="_Toc26648466"/>
      <w:bookmarkStart w:id="38" w:name="_Toc24884219"/>
      <w:bookmarkStart w:id="39" w:name="_Toc17233326"/>
      <w:bookmarkStart w:id="40" w:name="_Toc17233334"/>
      <w:bookmarkStart w:id="41" w:name="_Toc24884212"/>
      <w:r>
        <w:rPr>
          <w:rFonts w:hint="eastAsia"/>
        </w:rPr>
        <w:t>本文件给出了应用工业互联网的工业企业网络安全防护需达到的具体级别和相应的防护要求。</w:t>
      </w:r>
    </w:p>
    <w:p>
      <w:pPr>
        <w:pStyle w:val="59"/>
        <w:ind w:firstLine="420"/>
        <w:rPr>
          <w:rFonts w:hint="eastAsia"/>
        </w:rPr>
      </w:pPr>
      <w:r>
        <w:rPr>
          <w:rFonts w:hint="eastAsia"/>
        </w:rPr>
        <w:t>本文件适用</w:t>
      </w:r>
      <w:r>
        <w:rPr>
          <w:rFonts w:hint="eastAsia"/>
          <w:lang w:val="en-US" w:eastAsia="zh-CN"/>
        </w:rPr>
        <w:t>于</w:t>
      </w:r>
      <w:r>
        <w:rPr>
          <w:rFonts w:hint="eastAsia"/>
        </w:rPr>
        <w:t>应用工业互联网的工业企业</w:t>
      </w:r>
      <w:r>
        <w:rPr>
          <w:rFonts w:hint="eastAsia"/>
          <w:lang w:val="en-US" w:eastAsia="zh-CN"/>
        </w:rPr>
        <w:t>开展网络安全防护情况</w:t>
      </w:r>
      <w:r>
        <w:rPr>
          <w:rFonts w:hint="eastAsia"/>
        </w:rPr>
        <w:t>评估</w:t>
      </w:r>
      <w:r>
        <w:rPr>
          <w:rFonts w:hint="eastAsia"/>
          <w:lang w:val="en-US" w:eastAsia="zh-CN"/>
        </w:rPr>
        <w:t>或自评估</w:t>
      </w:r>
      <w:r>
        <w:rPr>
          <w:rFonts w:hint="eastAsia"/>
        </w:rPr>
        <w:t>。应用工业互联网的工业企业网络安全防护范围包括依托于工业互联网服务的各类信息系统、控制系统</w:t>
      </w:r>
      <w:r>
        <w:rPr>
          <w:rFonts w:hint="eastAsia"/>
          <w:lang w:eastAsia="zh-CN"/>
        </w:rPr>
        <w:t>、</w:t>
      </w:r>
      <w:r>
        <w:rPr>
          <w:rFonts w:hint="eastAsia"/>
        </w:rPr>
        <w:t>应用等安全</w:t>
      </w:r>
      <w:r>
        <w:rPr>
          <w:rFonts w:hint="eastAsia"/>
          <w:lang w:val="en-US" w:eastAsia="zh-CN"/>
        </w:rPr>
        <w:t>以及</w:t>
      </w:r>
      <w:r>
        <w:rPr>
          <w:rFonts w:hint="eastAsia"/>
        </w:rPr>
        <w:t>企业整体网络安全管理。</w:t>
      </w:r>
    </w:p>
    <w:p>
      <w:pPr>
        <w:pStyle w:val="107"/>
        <w:spacing w:before="312" w:after="312"/>
      </w:pPr>
      <w:bookmarkStart w:id="42" w:name="_Toc26986772"/>
      <w:bookmarkStart w:id="43" w:name="_Toc26986531"/>
      <w:bookmarkStart w:id="44" w:name="_Toc23673"/>
      <w:bookmarkStart w:id="45" w:name="_Toc97190719"/>
      <w:bookmarkStart w:id="46" w:name="_Toc26718931"/>
      <w:bookmarkStart w:id="47" w:name="_Toc21618"/>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23E1AF08959645CBB2465028CB75F1A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rPr>
          <w:rFonts w:ascii="Times New Roman"/>
        </w:rPr>
      </w:pPr>
      <w:r>
        <w:rPr>
          <w:rFonts w:ascii="Times New Roman"/>
        </w:rPr>
        <w:t>GB/T 25069 信息安全技术 术语</w:t>
      </w:r>
    </w:p>
    <w:p>
      <w:pPr>
        <w:pStyle w:val="59"/>
        <w:ind w:firstLine="420"/>
        <w:rPr>
          <w:rFonts w:hint="eastAsia" w:ascii="Times New Roman"/>
        </w:rPr>
      </w:pPr>
      <w:r>
        <w:rPr>
          <w:rFonts w:hint="eastAsia" w:ascii="Times New Roman"/>
        </w:rPr>
        <w:t>GB/T 22239</w:t>
      </w:r>
      <w:r>
        <w:rPr>
          <w:rFonts w:hint="eastAsia" w:ascii="Times New Roman"/>
        </w:rPr>
        <w:tab/>
      </w:r>
      <w:r>
        <w:rPr>
          <w:rFonts w:hint="eastAsia" w:ascii="Times New Roman"/>
        </w:rPr>
        <w:t>信息安全技术 网络安全等级保护基本要求</w:t>
      </w:r>
    </w:p>
    <w:p>
      <w:pPr>
        <w:pStyle w:val="59"/>
        <w:ind w:firstLine="420"/>
        <w:rPr>
          <w:rFonts w:hint="eastAsia" w:ascii="Times New Roman"/>
        </w:rPr>
      </w:pPr>
      <w:r>
        <w:rPr>
          <w:rFonts w:hint="eastAsia" w:ascii="Times New Roman"/>
        </w:rPr>
        <w:t>GB/T 32919</w:t>
      </w:r>
      <w:r>
        <w:rPr>
          <w:rFonts w:hint="eastAsia" w:ascii="Times New Roman"/>
          <w:lang w:eastAsia="zh-CN"/>
        </w:rPr>
        <w:t>—</w:t>
      </w:r>
      <w:r>
        <w:rPr>
          <w:rFonts w:hint="eastAsia" w:ascii="Times New Roman"/>
        </w:rPr>
        <w:t>2016 信息安全技术 工业控制系统安全控制应用指南</w:t>
      </w:r>
    </w:p>
    <w:p>
      <w:pPr>
        <w:pStyle w:val="59"/>
        <w:ind w:firstLine="420"/>
        <w:rPr>
          <w:rFonts w:hint="eastAsia" w:ascii="Times New Roman"/>
        </w:rPr>
      </w:pPr>
      <w:r>
        <w:rPr>
          <w:rFonts w:hint="eastAsia" w:ascii="Times New Roman"/>
        </w:rPr>
        <w:t>GB 50174—2017 数据中心设计规范</w:t>
      </w:r>
    </w:p>
    <w:p>
      <w:pPr>
        <w:pStyle w:val="59"/>
        <w:ind w:firstLine="420"/>
        <w:rPr>
          <w:rFonts w:hint="eastAsia" w:ascii="Times New Roman"/>
        </w:rPr>
      </w:pPr>
      <w:r>
        <w:rPr>
          <w:rFonts w:hint="eastAsia" w:ascii="Times New Roman"/>
        </w:rPr>
        <w:t>GB/Z 41288—2022 信息安全技术 重要工业控制系统网络安全防护导则</w:t>
      </w:r>
    </w:p>
    <w:p>
      <w:pPr>
        <w:pStyle w:val="59"/>
        <w:ind w:firstLine="420"/>
        <w:rPr>
          <w:rFonts w:hint="eastAsia" w:ascii="Times New Roman"/>
        </w:rPr>
      </w:pPr>
      <w:r>
        <w:rPr>
          <w:rFonts w:hint="eastAsia" w:ascii="Times New Roman"/>
        </w:rPr>
        <w:t>GB/T 41400—2022 信息安全技术 工业控制系统信息安全防护能力成熟度模型</w:t>
      </w:r>
    </w:p>
    <w:p>
      <w:pPr>
        <w:pStyle w:val="59"/>
        <w:ind w:firstLine="420"/>
        <w:rPr>
          <w:rFonts w:hint="eastAsia" w:ascii="Times New Roman"/>
        </w:rPr>
      </w:pPr>
      <w:r>
        <w:rPr>
          <w:rFonts w:hint="eastAsia" w:ascii="Times New Roman"/>
        </w:rPr>
        <w:t>GB/T XXXXX—XXXX 工业互联网企业网络安全 第2部分：平台企业防护要求</w:t>
      </w:r>
    </w:p>
    <w:p>
      <w:pPr>
        <w:pStyle w:val="59"/>
        <w:ind w:firstLine="420"/>
        <w:rPr>
          <w:rFonts w:hint="eastAsia" w:ascii="Times New Roman"/>
        </w:rPr>
      </w:pPr>
      <w:r>
        <w:rPr>
          <w:rFonts w:hint="eastAsia" w:ascii="Times New Roman"/>
        </w:rPr>
        <w:t>GB/T XXXXX—XXXX 工业互联网企业网络安全 第4部分：数据防护要求</w:t>
      </w:r>
    </w:p>
    <w:p>
      <w:pPr>
        <w:pStyle w:val="59"/>
        <w:ind w:firstLine="420"/>
        <w:rPr>
          <w:rFonts w:hint="eastAsia" w:ascii="Times New Roman"/>
        </w:rPr>
      </w:pPr>
      <w:r>
        <w:rPr>
          <w:rFonts w:hint="eastAsia" w:ascii="Times New Roman"/>
        </w:rPr>
        <w:t>YD/T 1754—2008 电信网和互联网物理环境安全等级保护要求</w:t>
      </w:r>
    </w:p>
    <w:p>
      <w:pPr>
        <w:pStyle w:val="59"/>
        <w:ind w:firstLine="420"/>
        <w:rPr>
          <w:rFonts w:hint="eastAsia" w:ascii="Times New Roman"/>
        </w:rPr>
      </w:pPr>
      <w:r>
        <w:rPr>
          <w:rFonts w:hint="eastAsia" w:ascii="Times New Roman"/>
          <w:lang w:val="en-US" w:eastAsia="zh-CN"/>
        </w:rPr>
        <w:t xml:space="preserve">XXXX-XXXX </w:t>
      </w:r>
      <w:r>
        <w:rPr>
          <w:rFonts w:hint="eastAsia" w:ascii="Times New Roman"/>
        </w:rPr>
        <w:t>应用工业互联网的工业企业定级规则</w:t>
      </w:r>
    </w:p>
    <w:p>
      <w:pPr>
        <w:pStyle w:val="107"/>
        <w:spacing w:before="312" w:after="312"/>
      </w:pPr>
      <w:bookmarkStart w:id="48" w:name="_Toc97190720"/>
      <w:bookmarkStart w:id="49" w:name="_Toc10709"/>
      <w:bookmarkStart w:id="50" w:name="_Toc2079"/>
      <w:r>
        <w:rPr>
          <w:rFonts w:hint="eastAsia"/>
          <w:szCs w:val="21"/>
        </w:rPr>
        <w:t>术语和定义</w:t>
      </w:r>
      <w:bookmarkEnd w:id="48"/>
      <w:bookmarkEnd w:id="49"/>
      <w:bookmarkEnd w:id="50"/>
    </w:p>
    <w:sdt>
      <w:sdtPr>
        <w:rPr>
          <w:rFonts w:hint="eastAsia" w:ascii="Times New Roman"/>
        </w:rPr>
        <w:id w:val="-1909835108"/>
        <w:placeholder>
          <w:docPart w:val="23E1AF08959645CBB2465028CB75F1A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Times New Roman"/>
        </w:rPr>
      </w:sdtEndPr>
      <w:sdtContent>
        <w:p>
          <w:pPr>
            <w:pStyle w:val="59"/>
            <w:ind w:firstLine="420"/>
          </w:pPr>
          <w:bookmarkStart w:id="51" w:name="_Toc26986532"/>
          <w:bookmarkEnd w:id="51"/>
          <w:r>
            <w:rPr>
              <w:rFonts w:hint="eastAsia" w:ascii="Times New Roman"/>
            </w:rPr>
            <w:t>GB/T 25069、GB/T 32919-2016界定的以及下列术语和定义适用于本文件。</w:t>
          </w:r>
        </w:p>
      </w:sdtContent>
    </w:sdt>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工业互联网 Industrial Internet</w:t>
      </w:r>
    </w:p>
    <w:p>
      <w:pPr>
        <w:pStyle w:val="59"/>
        <w:ind w:firstLine="420"/>
      </w:pPr>
      <w:r>
        <w:rPr>
          <w:rFonts w:hint="eastAsia"/>
        </w:rPr>
        <w:t>工业互联网是新一代信息通信技术与工业经济深度融合的新型基础设施、应用模式和工业生态，通过对人、机、物、系统等的全面连接，构建起覆盖全产业链、全价值链的全新制造和服务体系，为工业乃至产业数字化、网络化、智能化发展提供了实现途径。</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应用工业互联网的工业企业 </w:t>
      </w:r>
      <w:r>
        <w:rPr>
          <w:rFonts w:ascii="黑体" w:hAnsi="黑体" w:eastAsia="黑体"/>
        </w:rPr>
        <w:t>Internet Industrial Enterprise</w:t>
      </w:r>
    </w:p>
    <w:p>
      <w:pPr>
        <w:pStyle w:val="59"/>
        <w:ind w:firstLine="420"/>
      </w:pPr>
      <w:r>
        <w:rPr>
          <w:rFonts w:hint="eastAsia"/>
        </w:rPr>
        <w:t>运用工业互联网技术实现智能控制、运营优化和生产组织方式的工业企业</w:t>
      </w:r>
      <w:r>
        <w:t>。</w:t>
      </w:r>
    </w:p>
    <w:p>
      <w:pPr>
        <w:pStyle w:val="107"/>
        <w:spacing w:before="312" w:after="312"/>
        <w:rPr>
          <w:rFonts w:hint="default" w:ascii="Times New Roman"/>
          <w:sz w:val="21"/>
          <w:szCs w:val="24"/>
          <w:lang w:val="de-DE"/>
        </w:rPr>
      </w:pPr>
      <w:bookmarkStart w:id="52" w:name="_Toc5882"/>
      <w:bookmarkStart w:id="53" w:name="_Toc89191897"/>
      <w:bookmarkStart w:id="54" w:name="_Toc12729"/>
      <w:r>
        <w:rPr>
          <w:rFonts w:hint="eastAsia" w:ascii="Times New Roman"/>
          <w:sz w:val="21"/>
          <w:szCs w:val="24"/>
          <w:lang w:val="de-DE"/>
        </w:rPr>
        <w:t>缩略语</w:t>
      </w:r>
      <w:bookmarkEnd w:id="52"/>
      <w:bookmarkEnd w:id="53"/>
    </w:p>
    <w:p>
      <w:pPr>
        <w:pStyle w:val="59"/>
        <w:spacing w:beforeLines="0" w:afterLines="0"/>
        <w:ind w:firstLine="420"/>
        <w:rPr>
          <w:rFonts w:hint="default" w:ascii="Times New Roman"/>
          <w:sz w:val="21"/>
          <w:szCs w:val="24"/>
        </w:rPr>
      </w:pPr>
      <w:r>
        <w:rPr>
          <w:rFonts w:hint="eastAsia" w:ascii="Times New Roman"/>
          <w:sz w:val="21"/>
          <w:szCs w:val="24"/>
        </w:rPr>
        <w:t>下列缩略语适用于本文件。</w:t>
      </w:r>
    </w:p>
    <w:p>
      <w:pPr>
        <w:pStyle w:val="59"/>
        <w:spacing w:beforeLines="0" w:afterLines="0"/>
        <w:ind w:firstLine="440"/>
        <w:rPr>
          <w:rFonts w:hint="default" w:ascii="Times New Roman" w:eastAsia="仿宋_GB2312"/>
          <w:sz w:val="22"/>
          <w:szCs w:val="24"/>
          <w:highlight w:val="none"/>
        </w:rPr>
      </w:pPr>
      <w:r>
        <w:rPr>
          <w:rFonts w:hint="default" w:ascii="Times New Roman" w:eastAsia="仿宋_GB2312"/>
          <w:sz w:val="22"/>
          <w:szCs w:val="24"/>
          <w:highlight w:val="none"/>
        </w:rPr>
        <w:t>AGV：自动导引运输车（Automated Guided Vehicle）</w:t>
      </w:r>
    </w:p>
    <w:p>
      <w:pPr>
        <w:pStyle w:val="59"/>
        <w:spacing w:beforeLines="0" w:afterLines="0"/>
        <w:ind w:firstLine="440"/>
        <w:rPr>
          <w:rFonts w:hint="default" w:ascii="Times New Roman" w:eastAsia="仿宋_GB2312"/>
          <w:sz w:val="22"/>
          <w:szCs w:val="24"/>
          <w:highlight w:val="none"/>
        </w:rPr>
      </w:pPr>
      <w:r>
        <w:rPr>
          <w:rFonts w:hint="default" w:ascii="Times New Roman" w:eastAsia="仿宋_GB2312"/>
          <w:sz w:val="22"/>
          <w:szCs w:val="24"/>
          <w:highlight w:val="none"/>
        </w:rPr>
        <w:t>CNC：计算机数字控制机床（Computer numerical control）</w:t>
      </w:r>
    </w:p>
    <w:p>
      <w:pPr>
        <w:pStyle w:val="59"/>
        <w:spacing w:beforeLines="0" w:afterLines="0"/>
        <w:ind w:firstLine="440"/>
        <w:rPr>
          <w:rFonts w:hint="default" w:ascii="Times New Roman" w:eastAsia="仿宋_GB2312"/>
          <w:sz w:val="22"/>
          <w:szCs w:val="24"/>
          <w:highlight w:val="none"/>
        </w:rPr>
      </w:pPr>
      <w:r>
        <w:rPr>
          <w:rFonts w:hint="default" w:ascii="Times New Roman" w:eastAsia="仿宋_GB2312"/>
          <w:sz w:val="22"/>
          <w:szCs w:val="24"/>
          <w:highlight w:val="none"/>
        </w:rPr>
        <w:t>APP：应用程序（Application）加速并行处理技术（Accelerated Parallel Processing）</w:t>
      </w:r>
    </w:p>
    <w:p>
      <w:pPr>
        <w:pStyle w:val="59"/>
        <w:spacing w:beforeLines="0" w:afterLines="0"/>
        <w:ind w:firstLine="440"/>
        <w:rPr>
          <w:rFonts w:hint="default" w:ascii="Times New Roman" w:eastAsia="仿宋_GB2312"/>
          <w:sz w:val="22"/>
          <w:szCs w:val="24"/>
          <w:highlight w:val="none"/>
        </w:rPr>
      </w:pPr>
      <w:r>
        <w:rPr>
          <w:rFonts w:hint="default" w:ascii="Times New Roman" w:eastAsia="仿宋_GB2312"/>
          <w:sz w:val="22"/>
          <w:szCs w:val="24"/>
          <w:highlight w:val="none"/>
        </w:rPr>
        <w:t>RTU：远程测控终端，远程终端单元（Remote Terminal Unit）</w:t>
      </w:r>
    </w:p>
    <w:p>
      <w:pPr>
        <w:pStyle w:val="59"/>
        <w:spacing w:beforeLines="0" w:afterLines="0"/>
        <w:ind w:firstLine="440"/>
        <w:rPr>
          <w:rFonts w:hint="default" w:ascii="Times New Roman" w:eastAsia="仿宋_GB2312"/>
          <w:sz w:val="22"/>
          <w:szCs w:val="24"/>
          <w:highlight w:val="none"/>
        </w:rPr>
      </w:pPr>
      <w:r>
        <w:rPr>
          <w:rFonts w:hint="default" w:ascii="Times New Roman" w:eastAsia="仿宋_GB2312"/>
          <w:sz w:val="22"/>
          <w:szCs w:val="24"/>
          <w:highlight w:val="none"/>
        </w:rPr>
        <w:t>IED：智能电子设备（Intelligent Electronic Device）</w:t>
      </w:r>
    </w:p>
    <w:p>
      <w:pPr>
        <w:pStyle w:val="59"/>
        <w:spacing w:beforeLines="0" w:afterLines="0"/>
        <w:ind w:firstLine="440"/>
        <w:rPr>
          <w:rFonts w:hint="default" w:ascii="Times New Roman" w:eastAsia="仿宋_GB2312"/>
          <w:sz w:val="22"/>
          <w:szCs w:val="24"/>
          <w:highlight w:val="none"/>
        </w:rPr>
      </w:pPr>
      <w:r>
        <w:rPr>
          <w:rFonts w:hint="default" w:ascii="Times New Roman" w:eastAsia="仿宋_GB2312"/>
          <w:sz w:val="22"/>
          <w:szCs w:val="24"/>
          <w:highlight w:val="none"/>
        </w:rPr>
        <w:t>DPU：分散处理单元(Distributed Processing Unit)</w:t>
      </w:r>
    </w:p>
    <w:p>
      <w:pPr>
        <w:pStyle w:val="107"/>
        <w:spacing w:before="312" w:after="312"/>
        <w:rPr>
          <w:rFonts w:hAnsi="黑体"/>
          <w:color w:val="000000"/>
          <w:szCs w:val="21"/>
        </w:rPr>
      </w:pPr>
      <w:bookmarkStart w:id="55" w:name="_Toc5169"/>
      <w:r>
        <w:rPr>
          <w:rFonts w:hint="eastAsia" w:hAnsi="黑体"/>
          <w:color w:val="000000"/>
          <w:szCs w:val="21"/>
        </w:rPr>
        <w:t>应用工业互联网的工业企业网络安全防护内容</w:t>
      </w:r>
      <w:bookmarkEnd w:id="54"/>
      <w:bookmarkEnd w:id="55"/>
      <w:bookmarkStart w:id="166" w:name="_GoBack"/>
      <w:bookmarkEnd w:id="166"/>
    </w:p>
    <w:p>
      <w:pPr>
        <w:pStyle w:val="59"/>
        <w:ind w:firstLine="420"/>
        <w:rPr>
          <w:highlight w:val="none"/>
        </w:rPr>
      </w:pPr>
      <w:r>
        <w:rPr>
          <w:rFonts w:hint="eastAsia"/>
          <w:highlight w:val="none"/>
        </w:rPr>
        <w:t>应用工业互联网的工业企业网络安全防护内容具体包括：</w:t>
      </w:r>
    </w:p>
    <w:p>
      <w:pPr>
        <w:pStyle w:val="59"/>
        <w:ind w:firstLine="42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设备安全防护：包括工业主机安全、网络设备安全、工业控制设备安全等。</w:t>
      </w:r>
    </w:p>
    <w:p>
      <w:pPr>
        <w:pStyle w:val="59"/>
        <w:ind w:firstLine="420"/>
        <w:rPr>
          <w:highlight w:val="none"/>
        </w:rPr>
      </w:pPr>
      <w:r>
        <w:rPr>
          <w:rFonts w:hint="eastAsia"/>
          <w:highlight w:val="none"/>
        </w:rPr>
        <w:t>（</w:t>
      </w:r>
      <w:r>
        <w:rPr>
          <w:rFonts w:hint="eastAsia"/>
          <w:highlight w:val="none"/>
          <w:lang w:val="en-US" w:eastAsia="zh-CN"/>
        </w:rPr>
        <w:t>2</w:t>
      </w:r>
      <w:r>
        <w:rPr>
          <w:rFonts w:hint="eastAsia"/>
          <w:highlight w:val="none"/>
        </w:rPr>
        <w:t>）控制安全防护：包括应用工业互联网的工业企业控制系统安全、</w:t>
      </w:r>
      <w:r>
        <w:rPr>
          <w:rFonts w:hint="eastAsia"/>
          <w:highlight w:val="none"/>
          <w:lang w:val="en-US" w:eastAsia="zh-CN"/>
        </w:rPr>
        <w:t>组态软件</w:t>
      </w:r>
      <w:r>
        <w:rPr>
          <w:rFonts w:hint="eastAsia"/>
          <w:highlight w:val="none"/>
        </w:rPr>
        <w:t>安全、配置安全</w:t>
      </w:r>
      <w:r>
        <w:rPr>
          <w:rFonts w:hint="eastAsia"/>
          <w:highlight w:val="none"/>
          <w:lang w:eastAsia="zh-CN"/>
        </w:rPr>
        <w:t>、智能装备控制安全</w:t>
      </w:r>
      <w:r>
        <w:rPr>
          <w:rFonts w:hint="eastAsia"/>
          <w:highlight w:val="none"/>
        </w:rPr>
        <w:t>等。</w:t>
      </w:r>
    </w:p>
    <w:p>
      <w:pPr>
        <w:pStyle w:val="59"/>
        <w:ind w:firstLine="420"/>
        <w:rPr>
          <w:highlight w:val="none"/>
        </w:rPr>
      </w:pPr>
      <w:r>
        <w:rPr>
          <w:rFonts w:hint="eastAsia"/>
          <w:highlight w:val="none"/>
        </w:rPr>
        <w:t>（</w:t>
      </w:r>
      <w:r>
        <w:rPr>
          <w:rFonts w:hint="eastAsia"/>
          <w:highlight w:val="none"/>
          <w:lang w:val="en-US" w:eastAsia="zh-CN"/>
        </w:rPr>
        <w:t>3</w:t>
      </w:r>
      <w:r>
        <w:rPr>
          <w:rFonts w:hint="eastAsia"/>
          <w:highlight w:val="none"/>
        </w:rPr>
        <w:t>）网络安全防护：包括</w:t>
      </w:r>
      <w:r>
        <w:rPr>
          <w:rFonts w:hint="eastAsia"/>
          <w:highlight w:val="none"/>
          <w:lang w:val="en-US" w:eastAsia="zh-CN"/>
        </w:rPr>
        <w:t>架构</w:t>
      </w:r>
      <w:r>
        <w:rPr>
          <w:rFonts w:hint="eastAsia"/>
          <w:highlight w:val="none"/>
        </w:rPr>
        <w:t>安全、</w:t>
      </w:r>
      <w:r>
        <w:rPr>
          <w:rFonts w:hint="eastAsia"/>
          <w:highlight w:val="none"/>
          <w:lang w:val="en-US" w:eastAsia="zh-CN"/>
        </w:rPr>
        <w:t>边界</w:t>
      </w:r>
      <w:r>
        <w:rPr>
          <w:rFonts w:hint="eastAsia"/>
          <w:highlight w:val="none"/>
        </w:rPr>
        <w:t>安全、</w:t>
      </w:r>
      <w:r>
        <w:rPr>
          <w:rFonts w:hint="eastAsia"/>
          <w:highlight w:val="none"/>
          <w:lang w:val="en-US" w:eastAsia="zh-CN"/>
        </w:rPr>
        <w:t>通信</w:t>
      </w:r>
      <w:r>
        <w:rPr>
          <w:rFonts w:hint="eastAsia"/>
          <w:highlight w:val="none"/>
        </w:rPr>
        <w:t>安全等。</w:t>
      </w:r>
    </w:p>
    <w:p>
      <w:pPr>
        <w:pStyle w:val="59"/>
        <w:ind w:firstLine="420"/>
        <w:rPr>
          <w:rFonts w:hint="eastAsia" w:eastAsia="宋体"/>
          <w:highlight w:val="none"/>
          <w:lang w:eastAsia="zh-CN"/>
        </w:rPr>
      </w:pPr>
      <w:r>
        <w:rPr>
          <w:rFonts w:hint="eastAsia"/>
          <w:highlight w:val="none"/>
        </w:rPr>
        <w:t>（</w:t>
      </w:r>
      <w:r>
        <w:rPr>
          <w:rFonts w:hint="eastAsia"/>
          <w:highlight w:val="none"/>
          <w:lang w:val="en-US" w:eastAsia="zh-CN"/>
        </w:rPr>
        <w:t>4</w:t>
      </w:r>
      <w:r>
        <w:rPr>
          <w:rFonts w:hint="eastAsia"/>
          <w:highlight w:val="none"/>
        </w:rPr>
        <w:t>）数据安全防护：</w:t>
      </w:r>
      <w:r>
        <w:rPr>
          <w:rFonts w:hint="eastAsia"/>
          <w:highlight w:val="none"/>
          <w:lang w:val="en-US" w:eastAsia="zh-CN"/>
        </w:rPr>
        <w:t>参照</w:t>
      </w:r>
      <w:r>
        <w:rPr>
          <w:rFonts w:hint="eastAsia"/>
          <w:highlight w:val="none"/>
        </w:rPr>
        <w:t>《工业互联网企业网络安全 第4部分：数据防护要求》</w:t>
      </w:r>
      <w:r>
        <w:rPr>
          <w:rFonts w:hint="eastAsia"/>
          <w:highlight w:val="none"/>
          <w:lang w:eastAsia="zh-CN"/>
        </w:rPr>
        <w:t>。</w:t>
      </w:r>
    </w:p>
    <w:p>
      <w:pPr>
        <w:pStyle w:val="59"/>
        <w:ind w:firstLine="420"/>
        <w:rPr>
          <w:rFonts w:hint="eastAsia"/>
          <w:highlight w:val="none"/>
        </w:rPr>
      </w:pPr>
      <w:r>
        <w:rPr>
          <w:rFonts w:hint="eastAsia"/>
          <w:highlight w:val="none"/>
        </w:rPr>
        <w:t>（</w:t>
      </w:r>
      <w:r>
        <w:rPr>
          <w:rFonts w:hint="eastAsia"/>
          <w:highlight w:val="none"/>
          <w:lang w:val="en-US" w:eastAsia="zh-CN"/>
        </w:rPr>
        <w:t>5</w:t>
      </w:r>
      <w:r>
        <w:rPr>
          <w:rFonts w:hint="eastAsia"/>
          <w:highlight w:val="none"/>
        </w:rPr>
        <w:t>）</w:t>
      </w:r>
      <w:r>
        <w:rPr>
          <w:rFonts w:hint="eastAsia"/>
          <w:highlight w:val="none"/>
          <w:lang w:val="en-US" w:eastAsia="zh-CN"/>
        </w:rPr>
        <w:t>软件</w:t>
      </w:r>
      <w:r>
        <w:rPr>
          <w:rFonts w:hint="eastAsia"/>
          <w:highlight w:val="none"/>
        </w:rPr>
        <w:t>安全防护：包括</w:t>
      </w:r>
      <w:r>
        <w:rPr>
          <w:rFonts w:hint="eastAsia"/>
          <w:highlight w:val="none"/>
          <w:lang w:val="en-US" w:eastAsia="zh-CN"/>
        </w:rPr>
        <w:t>生产控制软件、本地部署平台软件、第三方平台软件、工业APP</w:t>
      </w:r>
      <w:r>
        <w:rPr>
          <w:rFonts w:hint="eastAsia"/>
          <w:highlight w:val="none"/>
        </w:rPr>
        <w:t>等。</w:t>
      </w:r>
    </w:p>
    <w:p>
      <w:pPr>
        <w:pStyle w:val="59"/>
        <w:ind w:firstLine="420"/>
        <w:rPr>
          <w:highlight w:val="none"/>
        </w:rPr>
      </w:pPr>
      <w:r>
        <w:rPr>
          <w:rFonts w:hint="eastAsia"/>
          <w:highlight w:val="none"/>
        </w:rPr>
        <w:t>（</w:t>
      </w:r>
      <w:r>
        <w:rPr>
          <w:rFonts w:hint="eastAsia"/>
          <w:highlight w:val="none"/>
          <w:lang w:val="en-US" w:eastAsia="zh-CN"/>
        </w:rPr>
        <w:t>6</w:t>
      </w:r>
      <w:r>
        <w:rPr>
          <w:rFonts w:hint="eastAsia"/>
          <w:highlight w:val="none"/>
        </w:rPr>
        <w:t>）</w:t>
      </w:r>
      <w:r>
        <w:rPr>
          <w:rFonts w:hint="eastAsia"/>
          <w:highlight w:val="none"/>
          <w:lang w:val="en-US" w:eastAsia="zh-CN"/>
        </w:rPr>
        <w:t>网络</w:t>
      </w:r>
      <w:r>
        <w:rPr>
          <w:rFonts w:hint="eastAsia"/>
          <w:highlight w:val="none"/>
        </w:rPr>
        <w:t>安全管理要求：包括安全管理制度、安全管理机构和人员、安全建设管理、安全运维管理等。</w:t>
      </w:r>
    </w:p>
    <w:p>
      <w:pPr>
        <w:pStyle w:val="59"/>
        <w:ind w:firstLine="420"/>
        <w:rPr>
          <w:highlight w:val="none"/>
        </w:rPr>
      </w:pPr>
      <w:r>
        <w:rPr>
          <w:rFonts w:hint="eastAsia"/>
          <w:highlight w:val="none"/>
        </w:rPr>
        <w:t>（</w:t>
      </w:r>
      <w:r>
        <w:rPr>
          <w:rFonts w:hint="eastAsia"/>
          <w:highlight w:val="none"/>
          <w:lang w:val="en-US" w:eastAsia="zh-CN"/>
        </w:rPr>
        <w:t>7</w:t>
      </w:r>
      <w:r>
        <w:rPr>
          <w:rFonts w:hint="eastAsia"/>
          <w:highlight w:val="none"/>
        </w:rPr>
        <w:t>）物理和环境安全</w:t>
      </w:r>
      <w:r>
        <w:rPr>
          <w:rFonts w:hint="eastAsia"/>
          <w:highlight w:val="none"/>
          <w:lang w:val="en-US" w:eastAsia="zh-CN"/>
        </w:rPr>
        <w:t>要求</w:t>
      </w:r>
      <w:r>
        <w:rPr>
          <w:rFonts w:hint="eastAsia"/>
          <w:highlight w:val="none"/>
        </w:rPr>
        <w:t>：包括物理位置选择、物理访问控制、防盗窃和防破坏、防雷击、防火、防水和防潮、防静电、温湿度控制、电力供应、电磁防护等。</w:t>
      </w:r>
    </w:p>
    <w:p>
      <w:pPr>
        <w:pStyle w:val="107"/>
        <w:spacing w:before="312" w:after="312"/>
        <w:rPr>
          <w:rFonts w:hAnsi="黑体"/>
          <w:color w:val="000000"/>
          <w:szCs w:val="21"/>
        </w:rPr>
      </w:pPr>
      <w:bookmarkStart w:id="56" w:name="_Toc15504"/>
      <w:bookmarkStart w:id="57" w:name="_Toc26856"/>
      <w:r>
        <w:rPr>
          <w:rFonts w:hAnsi="黑体"/>
          <w:color w:val="000000"/>
          <w:szCs w:val="21"/>
        </w:rPr>
        <w:t>应用工业互联网的工业企业</w:t>
      </w:r>
      <w:r>
        <w:rPr>
          <w:rFonts w:hint="eastAsia" w:hAnsi="黑体"/>
          <w:color w:val="000000"/>
          <w:szCs w:val="21"/>
        </w:rPr>
        <w:t>网络</w:t>
      </w:r>
      <w:r>
        <w:rPr>
          <w:rFonts w:hAnsi="黑体"/>
          <w:color w:val="000000"/>
          <w:szCs w:val="21"/>
        </w:rPr>
        <w:t>安全防护级别的确定</w:t>
      </w:r>
      <w:bookmarkEnd w:id="56"/>
      <w:bookmarkEnd w:id="57"/>
    </w:p>
    <w:p>
      <w:pPr>
        <w:pStyle w:val="59"/>
        <w:ind w:firstLine="420"/>
        <w:rPr>
          <w:rFonts w:hint="eastAsia" w:eastAsia="宋体"/>
          <w:lang w:eastAsia="zh-CN"/>
        </w:rPr>
      </w:pPr>
      <w:r>
        <w:rPr>
          <w:rFonts w:hint="eastAsia"/>
        </w:rPr>
        <w:t>应用工业互联网的工业企业按照</w:t>
      </w:r>
      <w:r>
        <w:rPr>
          <w:rFonts w:hint="eastAsia"/>
          <w:lang w:eastAsia="zh-CN"/>
        </w:rPr>
        <w:t>《</w:t>
      </w:r>
      <w:r>
        <w:rPr>
          <w:rFonts w:hint="eastAsia"/>
          <w:lang w:val="en-US" w:eastAsia="zh-CN"/>
        </w:rPr>
        <w:t>应用工业互联网的工业企业定级规则</w:t>
      </w:r>
      <w:r>
        <w:rPr>
          <w:rFonts w:hint="eastAsia"/>
          <w:lang w:eastAsia="zh-CN"/>
        </w:rPr>
        <w:t>》</w:t>
      </w:r>
      <w:r>
        <w:rPr>
          <w:rFonts w:hint="eastAsia"/>
        </w:rPr>
        <w:t>划分级别，采取不同程度的安全防护。应用工业互联网的工业企业的安全防护要求分为基本级和增强级两个级别，其中</w:t>
      </w:r>
      <w:r>
        <w:rPr>
          <w:rFonts w:hint="eastAsia"/>
          <w:lang w:eastAsia="zh-CN"/>
        </w:rPr>
        <w:t>：</w:t>
      </w:r>
    </w:p>
    <w:p>
      <w:pPr>
        <w:pStyle w:val="59"/>
        <w:ind w:firstLine="420"/>
        <w:rPr>
          <w:rFonts w:hint="eastAsia" w:eastAsia="宋体"/>
          <w:lang w:eastAsia="zh-CN"/>
        </w:rPr>
      </w:pPr>
      <w:r>
        <w:rPr>
          <w:rFonts w:hint="eastAsia"/>
        </w:rPr>
        <w:t>三级的应用工业互联网的工业企业按照增强级防护要求采取防护措施</w:t>
      </w:r>
      <w:r>
        <w:rPr>
          <w:rFonts w:hint="eastAsia"/>
          <w:lang w:eastAsia="zh-CN"/>
        </w:rPr>
        <w:t>；</w:t>
      </w:r>
    </w:p>
    <w:p>
      <w:pPr>
        <w:pStyle w:val="59"/>
        <w:ind w:firstLine="420"/>
        <w:rPr>
          <w:rFonts w:hint="eastAsia" w:eastAsia="宋体"/>
          <w:lang w:eastAsia="zh-CN"/>
        </w:rPr>
      </w:pPr>
      <w:r>
        <w:rPr>
          <w:rFonts w:hint="eastAsia"/>
        </w:rPr>
        <w:t>二级的应用工业互联网的工业企业按照基本级防护要求采取防护措施</w:t>
      </w:r>
      <w:r>
        <w:rPr>
          <w:rFonts w:hint="eastAsia"/>
          <w:lang w:eastAsia="zh-CN"/>
        </w:rPr>
        <w:t>；</w:t>
      </w:r>
    </w:p>
    <w:p>
      <w:pPr>
        <w:pStyle w:val="59"/>
        <w:ind w:firstLine="420"/>
        <w:rPr>
          <w:highlight w:val="none"/>
        </w:rPr>
      </w:pPr>
      <w:r>
        <w:rPr>
          <w:rFonts w:hint="eastAsia"/>
          <w:highlight w:val="none"/>
        </w:rPr>
        <w:t>一级的应用工业互联网的工业企业根据自身情况参照基本级防护要求，自主落实安全防护措施。</w:t>
      </w:r>
    </w:p>
    <w:p>
      <w:pPr>
        <w:pStyle w:val="107"/>
        <w:spacing w:before="312" w:after="312"/>
        <w:rPr>
          <w:rFonts w:hAnsi="黑体"/>
          <w:color w:val="000000"/>
          <w:szCs w:val="21"/>
        </w:rPr>
      </w:pPr>
      <w:bookmarkStart w:id="58" w:name="_Toc7477"/>
      <w:bookmarkStart w:id="59" w:name="_Toc26783"/>
      <w:r>
        <w:rPr>
          <w:rFonts w:hAnsi="黑体"/>
          <w:color w:val="000000"/>
          <w:szCs w:val="21"/>
        </w:rPr>
        <w:t>应用工业互联网的工业企业</w:t>
      </w:r>
      <w:r>
        <w:rPr>
          <w:rFonts w:hint="eastAsia" w:hAnsi="黑体"/>
          <w:color w:val="000000"/>
          <w:szCs w:val="21"/>
        </w:rPr>
        <w:t>网络</w:t>
      </w:r>
      <w:r>
        <w:rPr>
          <w:rFonts w:hAnsi="黑体"/>
          <w:color w:val="000000"/>
          <w:szCs w:val="21"/>
        </w:rPr>
        <w:t>安全防护要求</w:t>
      </w:r>
      <w:bookmarkEnd w:id="58"/>
      <w:bookmarkEnd w:id="59"/>
    </w:p>
    <w:p>
      <w:pPr>
        <w:pStyle w:val="108"/>
        <w:spacing w:before="156" w:after="156"/>
      </w:pPr>
      <w:bookmarkStart w:id="60" w:name="_Toc32186"/>
      <w:r>
        <w:rPr>
          <w:rFonts w:hAnsi="黑体"/>
          <w:color w:val="000000"/>
          <w:szCs w:val="21"/>
        </w:rPr>
        <w:t>基本级防护要求</w:t>
      </w:r>
      <w:bookmarkEnd w:id="60"/>
    </w:p>
    <w:p>
      <w:pPr>
        <w:pStyle w:val="68"/>
        <w:spacing w:before="156" w:after="156"/>
      </w:pPr>
      <w:bookmarkStart w:id="61" w:name="_Toc762"/>
      <w:r>
        <w:rPr>
          <w:rFonts w:hAnsi="黑体"/>
          <w:color w:val="000000"/>
          <w:szCs w:val="21"/>
        </w:rPr>
        <w:t>设备安全防护要求</w:t>
      </w:r>
      <w:bookmarkEnd w:id="61"/>
    </w:p>
    <w:p>
      <w:pPr>
        <w:pStyle w:val="97"/>
        <w:spacing w:before="156" w:after="156"/>
        <w:rPr>
          <w:rFonts w:hint="eastAsia"/>
          <w:sz w:val="21"/>
          <w:szCs w:val="24"/>
        </w:rPr>
      </w:pPr>
      <w:bookmarkStart w:id="62" w:name="_Toc13374"/>
      <w:r>
        <w:rPr>
          <w:rFonts w:hint="eastAsia" w:hAnsi="黑体"/>
          <w:color w:val="000000"/>
          <w:sz w:val="21"/>
          <w:szCs w:val="21"/>
        </w:rPr>
        <w:t>工业主机安全防护要求</w:t>
      </w:r>
      <w:bookmarkEnd w:id="62"/>
    </w:p>
    <w:p>
      <w:pPr>
        <w:pStyle w:val="177"/>
        <w:rPr>
          <w:rFonts w:hint="eastAsia"/>
          <w:sz w:val="21"/>
          <w:szCs w:val="24"/>
        </w:rPr>
      </w:pPr>
      <w:r>
        <w:rPr>
          <w:rFonts w:hint="eastAsia"/>
          <w:sz w:val="21"/>
          <w:szCs w:val="24"/>
        </w:rPr>
        <w:t>应对主机设备的账户和口令进行管理，合理设置账户类型和权限，使用强口令并保持定期更换；</w:t>
      </w:r>
    </w:p>
    <w:p>
      <w:pPr>
        <w:pStyle w:val="177"/>
        <w:rPr>
          <w:rFonts w:hint="eastAsia"/>
          <w:sz w:val="21"/>
          <w:szCs w:val="24"/>
        </w:rPr>
      </w:pPr>
      <w:r>
        <w:rPr>
          <w:rFonts w:hint="eastAsia"/>
          <w:sz w:val="21"/>
          <w:szCs w:val="24"/>
        </w:rPr>
        <w:t>应配置主机设备安全策略，并建立安全策略配置清单，定期确认相关安全策略的合规性和有效性；</w:t>
      </w:r>
    </w:p>
    <w:p>
      <w:pPr>
        <w:pStyle w:val="177"/>
        <w:rPr>
          <w:rFonts w:hint="eastAsia"/>
          <w:sz w:val="21"/>
          <w:szCs w:val="24"/>
        </w:rPr>
      </w:pPr>
      <w:r>
        <w:rPr>
          <w:rFonts w:hint="eastAsia"/>
          <w:sz w:val="21"/>
          <w:szCs w:val="24"/>
        </w:rPr>
        <w:t>应对移动存储介质的接入和使用的权限进行管理和控制；</w:t>
      </w:r>
    </w:p>
    <w:p>
      <w:pPr>
        <w:pStyle w:val="177"/>
        <w:rPr>
          <w:rFonts w:hint="eastAsia"/>
          <w:sz w:val="21"/>
          <w:szCs w:val="24"/>
        </w:rPr>
      </w:pPr>
      <w:r>
        <w:rPr>
          <w:rFonts w:hint="eastAsia"/>
          <w:sz w:val="21"/>
          <w:szCs w:val="24"/>
        </w:rPr>
        <w:t>应对工业主机系统上软件程序的安装、卸载和运行进行管理和控制；</w:t>
      </w:r>
    </w:p>
    <w:p>
      <w:pPr>
        <w:pStyle w:val="177"/>
        <w:rPr>
          <w:rFonts w:hint="eastAsia"/>
          <w:sz w:val="21"/>
          <w:szCs w:val="24"/>
          <w:highlight w:val="none"/>
        </w:rPr>
      </w:pPr>
      <w:r>
        <w:rPr>
          <w:rFonts w:hint="eastAsia"/>
          <w:sz w:val="21"/>
          <w:szCs w:val="24"/>
          <w:highlight w:val="none"/>
        </w:rPr>
        <w:t>应对工业主机外部接口进行管控，对外部接入设备，特别是有线或无线通信设备进行管理和控制；</w:t>
      </w:r>
    </w:p>
    <w:p>
      <w:pPr>
        <w:pStyle w:val="177"/>
        <w:rPr>
          <w:rFonts w:hint="eastAsia"/>
          <w:sz w:val="21"/>
          <w:szCs w:val="24"/>
          <w:highlight w:val="none"/>
        </w:rPr>
      </w:pPr>
      <w:r>
        <w:rPr>
          <w:rFonts w:hint="eastAsia"/>
          <w:sz w:val="21"/>
          <w:szCs w:val="24"/>
          <w:highlight w:val="none"/>
        </w:rPr>
        <w:t>应关闭与系统业务无关的端口和服务；</w:t>
      </w:r>
    </w:p>
    <w:p>
      <w:pPr>
        <w:pStyle w:val="177"/>
        <w:rPr>
          <w:rFonts w:hint="eastAsia"/>
          <w:sz w:val="21"/>
          <w:szCs w:val="24"/>
          <w:highlight w:val="none"/>
        </w:rPr>
      </w:pPr>
      <w:r>
        <w:rPr>
          <w:rFonts w:hint="eastAsia"/>
          <w:sz w:val="21"/>
          <w:szCs w:val="24"/>
          <w:highlight w:val="none"/>
        </w:rPr>
        <w:t>应规范软硬件安装和使用，不应在未授权的情况下擅自安装、卸载、升级软件，擅自更改软硬件配置。</w:t>
      </w:r>
    </w:p>
    <w:p>
      <w:pPr>
        <w:pStyle w:val="97"/>
        <w:shd w:val="clear"/>
        <w:spacing w:before="156" w:after="156"/>
        <w:rPr>
          <w:rFonts w:hint="eastAsia"/>
          <w:sz w:val="21"/>
          <w:szCs w:val="24"/>
        </w:rPr>
      </w:pPr>
      <w:bookmarkStart w:id="63" w:name="_Toc32023"/>
      <w:r>
        <w:rPr>
          <w:rFonts w:hint="eastAsia" w:hAnsi="黑体"/>
          <w:color w:val="000000"/>
          <w:sz w:val="21"/>
          <w:szCs w:val="21"/>
        </w:rPr>
        <w:t>网络设备安全防护要求</w:t>
      </w:r>
      <w:bookmarkEnd w:id="63"/>
    </w:p>
    <w:p>
      <w:pPr>
        <w:pStyle w:val="177"/>
        <w:numPr>
          <w:ilvl w:val="0"/>
          <w:numId w:val="32"/>
        </w:numPr>
        <w:spacing w:beforeLines="0" w:afterLines="0"/>
        <w:rPr>
          <w:rFonts w:hint="eastAsia"/>
          <w:sz w:val="21"/>
          <w:szCs w:val="24"/>
        </w:rPr>
      </w:pPr>
      <w:r>
        <w:rPr>
          <w:rFonts w:hint="eastAsia"/>
          <w:sz w:val="21"/>
          <w:szCs w:val="24"/>
        </w:rPr>
        <w:t>应对网络设备上账户、口令等内容进行检查，严禁使用空口令、弱口令，及时处理多余、过期、共享、僵尸账户；</w:t>
      </w:r>
    </w:p>
    <w:p>
      <w:pPr>
        <w:pStyle w:val="177"/>
        <w:numPr>
          <w:ilvl w:val="0"/>
          <w:numId w:val="32"/>
        </w:numPr>
        <w:spacing w:beforeLines="0" w:afterLines="0"/>
        <w:rPr>
          <w:rFonts w:hint="eastAsia"/>
          <w:sz w:val="21"/>
          <w:szCs w:val="24"/>
        </w:rPr>
      </w:pPr>
      <w:r>
        <w:rPr>
          <w:rFonts w:hint="eastAsia"/>
          <w:sz w:val="21"/>
          <w:szCs w:val="24"/>
        </w:rPr>
        <w:t>应对网络设备的运行日志和操作日志进行定期审计分析，发现安全风险或问题，应及时处理；</w:t>
      </w:r>
    </w:p>
    <w:p>
      <w:pPr>
        <w:pStyle w:val="177"/>
        <w:numPr>
          <w:ilvl w:val="0"/>
          <w:numId w:val="32"/>
        </w:numPr>
        <w:spacing w:beforeLines="0" w:afterLines="0"/>
        <w:rPr>
          <w:rFonts w:hint="eastAsia"/>
          <w:sz w:val="21"/>
          <w:szCs w:val="24"/>
        </w:rPr>
      </w:pPr>
      <w:r>
        <w:rPr>
          <w:rFonts w:hint="eastAsia"/>
          <w:sz w:val="21"/>
          <w:szCs w:val="24"/>
        </w:rPr>
        <w:t>应对网络设备的远程维护实行实时监管和审计，防止高危操作影响正常业务运行；</w:t>
      </w:r>
    </w:p>
    <w:p>
      <w:pPr>
        <w:pStyle w:val="177"/>
        <w:numPr>
          <w:ilvl w:val="0"/>
          <w:numId w:val="32"/>
        </w:numPr>
        <w:spacing w:beforeLines="0" w:afterLines="0"/>
        <w:rPr>
          <w:rFonts w:hint="eastAsia"/>
          <w:sz w:val="21"/>
          <w:szCs w:val="24"/>
        </w:rPr>
      </w:pPr>
      <w:r>
        <w:rPr>
          <w:rFonts w:hint="eastAsia"/>
          <w:sz w:val="21"/>
          <w:szCs w:val="24"/>
        </w:rPr>
        <w:t>应对网络设备的接口进行管控，关闭或封锁不使用的网络端口；</w:t>
      </w:r>
    </w:p>
    <w:p>
      <w:pPr>
        <w:pStyle w:val="177"/>
        <w:numPr>
          <w:ilvl w:val="0"/>
          <w:numId w:val="32"/>
        </w:numPr>
        <w:spacing w:beforeLines="0" w:afterLines="0"/>
        <w:rPr>
          <w:rFonts w:hint="eastAsia"/>
          <w:sz w:val="21"/>
          <w:szCs w:val="24"/>
        </w:rPr>
      </w:pPr>
      <w:r>
        <w:rPr>
          <w:rFonts w:hint="eastAsia"/>
          <w:sz w:val="21"/>
          <w:szCs w:val="24"/>
        </w:rPr>
        <w:t>应加强对无线设备接入无线通信网络设备的访问管控，防止未认证设备的接入访问；</w:t>
      </w:r>
    </w:p>
    <w:p>
      <w:pPr>
        <w:pStyle w:val="177"/>
        <w:numPr>
          <w:ilvl w:val="0"/>
          <w:numId w:val="13"/>
        </w:numPr>
        <w:rPr>
          <w:rFonts w:hint="eastAsia"/>
          <w:sz w:val="21"/>
          <w:szCs w:val="24"/>
        </w:rPr>
      </w:pPr>
      <w:r>
        <w:rPr>
          <w:rFonts w:hint="eastAsia"/>
          <w:sz w:val="21"/>
          <w:szCs w:val="24"/>
        </w:rPr>
        <w:t>应定期对网络设备的业务配置和安全配置进行核查，防止网络安全风险的发生影响业务系统</w:t>
      </w:r>
      <w:r>
        <w:rPr>
          <w:rFonts w:hint="eastAsia"/>
          <w:sz w:val="21"/>
          <w:szCs w:val="24"/>
          <w:lang w:eastAsia="zh-CN"/>
        </w:rPr>
        <w:t>；</w:t>
      </w:r>
    </w:p>
    <w:p>
      <w:pPr>
        <w:pStyle w:val="177"/>
        <w:numPr>
          <w:ilvl w:val="0"/>
          <w:numId w:val="13"/>
        </w:numPr>
        <w:rPr>
          <w:rFonts w:hint="eastAsia"/>
          <w:sz w:val="21"/>
          <w:szCs w:val="24"/>
        </w:rPr>
      </w:pPr>
      <w:r>
        <w:rPr>
          <w:rFonts w:hint="eastAsia"/>
          <w:sz w:val="21"/>
          <w:szCs w:val="24"/>
        </w:rPr>
        <w:t>网络关键设备和网络安全专用产品应符合相关国家标准的强制性要求</w:t>
      </w:r>
      <w:r>
        <w:rPr>
          <w:rFonts w:hint="eastAsia"/>
          <w:sz w:val="21"/>
          <w:szCs w:val="24"/>
          <w:lang w:eastAsia="zh-CN"/>
        </w:rPr>
        <w:t>。</w:t>
      </w:r>
    </w:p>
    <w:p>
      <w:pPr>
        <w:pStyle w:val="97"/>
        <w:spacing w:before="156" w:after="156"/>
        <w:rPr>
          <w:rFonts w:hint="eastAsia"/>
          <w:sz w:val="21"/>
          <w:szCs w:val="24"/>
        </w:rPr>
      </w:pPr>
      <w:bookmarkStart w:id="64" w:name="_Toc28049"/>
      <w:r>
        <w:rPr>
          <w:rFonts w:hint="eastAsia" w:hAnsi="黑体"/>
          <w:color w:val="000000"/>
          <w:sz w:val="21"/>
          <w:szCs w:val="21"/>
        </w:rPr>
        <w:t>工业控制设备安全防护要求</w:t>
      </w:r>
      <w:bookmarkEnd w:id="64"/>
    </w:p>
    <w:p>
      <w:pPr>
        <w:pStyle w:val="177"/>
        <w:numPr>
          <w:ilvl w:val="0"/>
          <w:numId w:val="33"/>
        </w:numPr>
        <w:spacing w:beforeLines="0" w:afterLines="0"/>
        <w:rPr>
          <w:rFonts w:hint="eastAsia"/>
          <w:sz w:val="21"/>
          <w:szCs w:val="24"/>
          <w:lang w:val="en-US" w:eastAsia="zh-CN"/>
        </w:rPr>
      </w:pPr>
      <w:bookmarkStart w:id="65" w:name="_Hlk102892878"/>
      <w:r>
        <w:rPr>
          <w:rFonts w:hint="eastAsia" w:ascii="宋体" w:hAnsi="Times New Roman" w:eastAsia="宋体" w:cs="Times New Roman"/>
          <w:sz w:val="21"/>
          <w:szCs w:val="24"/>
          <w:lang w:val="en-US" w:eastAsia="zh-CN" w:bidi="ar-SA"/>
        </w:rPr>
        <w:t>工业控制设备自身应</w:t>
      </w:r>
      <w:r>
        <w:rPr>
          <w:rFonts w:hint="eastAsia"/>
          <w:sz w:val="21"/>
          <w:szCs w:val="24"/>
          <w:lang w:val="en-US" w:eastAsia="zh-CN"/>
        </w:rPr>
        <w:t>实现对于用户登录访问的身份鉴别的安全要求</w:t>
      </w:r>
      <w:bookmarkEnd w:id="65"/>
      <w:r>
        <w:rPr>
          <w:rFonts w:hint="eastAsia"/>
          <w:sz w:val="21"/>
          <w:szCs w:val="24"/>
          <w:lang w:val="en-US" w:eastAsia="zh-CN"/>
        </w:rPr>
        <w:t>；</w:t>
      </w:r>
    </w:p>
    <w:p>
      <w:pPr>
        <w:pStyle w:val="177"/>
        <w:numPr>
          <w:ilvl w:val="0"/>
          <w:numId w:val="33"/>
        </w:numPr>
        <w:spacing w:beforeLines="0" w:afterLines="0"/>
        <w:rPr>
          <w:rFonts w:hint="eastAsia"/>
          <w:sz w:val="21"/>
          <w:szCs w:val="24"/>
          <w:lang w:val="en-US" w:eastAsia="zh-CN"/>
        </w:rPr>
      </w:pPr>
      <w:r>
        <w:rPr>
          <w:rFonts w:hint="eastAsia"/>
          <w:sz w:val="21"/>
          <w:szCs w:val="24"/>
          <w:lang w:val="en-US" w:eastAsia="zh-CN"/>
        </w:rPr>
        <w:t>工业控制设备自身应实现对于重要的用户行为和重要安全事件进行安全审计；</w:t>
      </w:r>
    </w:p>
    <w:p>
      <w:pPr>
        <w:pStyle w:val="177"/>
        <w:numPr>
          <w:ilvl w:val="0"/>
          <w:numId w:val="33"/>
        </w:numPr>
        <w:spacing w:beforeLines="0" w:afterLines="0"/>
        <w:rPr>
          <w:rFonts w:hint="eastAsia"/>
          <w:sz w:val="21"/>
          <w:szCs w:val="24"/>
          <w:lang w:val="en-US" w:eastAsia="zh-CN"/>
        </w:rPr>
      </w:pPr>
      <w:bookmarkStart w:id="66" w:name="_Hlk102892983"/>
      <w:r>
        <w:rPr>
          <w:rFonts w:hint="eastAsia"/>
          <w:sz w:val="21"/>
          <w:szCs w:val="24"/>
          <w:lang w:val="en-US" w:eastAsia="zh-CN"/>
        </w:rPr>
        <w:t>对采用无线通信技术进行控制的工业控制设备，应能识别其物理环境中发射的未经授权的无线设备，报告未经授权试图接入或干扰控制系统行为；</w:t>
      </w:r>
      <w:bookmarkEnd w:id="66"/>
    </w:p>
    <w:p>
      <w:pPr>
        <w:pStyle w:val="177"/>
        <w:numPr>
          <w:ilvl w:val="0"/>
          <w:numId w:val="33"/>
        </w:numPr>
        <w:spacing w:beforeLines="0" w:afterLines="0"/>
        <w:rPr>
          <w:rFonts w:hint="eastAsia"/>
          <w:sz w:val="21"/>
          <w:szCs w:val="24"/>
          <w:lang w:val="en-US" w:eastAsia="zh-CN"/>
        </w:rPr>
      </w:pPr>
      <w:r>
        <w:rPr>
          <w:rFonts w:hint="eastAsia"/>
          <w:sz w:val="21"/>
          <w:szCs w:val="24"/>
          <w:lang w:val="en-US" w:eastAsia="zh-CN"/>
        </w:rPr>
        <w:t>对采用无线通信技术进行控制的工业控制设备，应对无线通信采取传输加密的安全措施，实现传输报文的机密性保护；</w:t>
      </w:r>
    </w:p>
    <w:p>
      <w:pPr>
        <w:pStyle w:val="177"/>
        <w:numPr>
          <w:ilvl w:val="0"/>
          <w:numId w:val="33"/>
        </w:numPr>
        <w:spacing w:beforeLines="0" w:afterLines="0"/>
        <w:rPr>
          <w:rFonts w:hint="eastAsia"/>
          <w:sz w:val="21"/>
          <w:szCs w:val="24"/>
          <w:lang w:val="en-US" w:eastAsia="zh-CN"/>
        </w:rPr>
      </w:pPr>
      <w:r>
        <w:rPr>
          <w:rFonts w:hint="eastAsia"/>
          <w:sz w:val="21"/>
          <w:szCs w:val="24"/>
          <w:lang w:val="en-US" w:eastAsia="zh-CN"/>
        </w:rPr>
        <w:t>如受条件限制控制设备无法采用上述身份鉴别措施，应由其上位控制或管理设备实现同等功能或通过管理手段控制；</w:t>
      </w:r>
    </w:p>
    <w:p>
      <w:pPr>
        <w:pStyle w:val="177"/>
        <w:numPr>
          <w:ilvl w:val="0"/>
          <w:numId w:val="33"/>
        </w:numPr>
        <w:spacing w:beforeLines="0" w:afterLines="0"/>
        <w:rPr>
          <w:rFonts w:hint="eastAsia"/>
          <w:sz w:val="21"/>
          <w:szCs w:val="24"/>
          <w:lang w:val="en-US" w:eastAsia="zh-CN"/>
        </w:rPr>
      </w:pPr>
      <w:r>
        <w:rPr>
          <w:rFonts w:hint="eastAsia"/>
          <w:sz w:val="21"/>
          <w:szCs w:val="24"/>
          <w:lang w:val="en-US" w:eastAsia="zh-CN"/>
        </w:rPr>
        <w:t>选择现场测控设备应优先考虑具有对访问行为主体（人员、进程和设备）进行标识与鉴别的功能；</w:t>
      </w:r>
    </w:p>
    <w:p>
      <w:pPr>
        <w:pStyle w:val="177"/>
        <w:numPr>
          <w:ilvl w:val="0"/>
          <w:numId w:val="33"/>
        </w:numPr>
        <w:spacing w:beforeLines="0" w:afterLines="0"/>
        <w:rPr>
          <w:rFonts w:hint="eastAsia"/>
          <w:sz w:val="21"/>
          <w:szCs w:val="24"/>
          <w:lang w:val="en-US" w:eastAsia="zh-CN"/>
        </w:rPr>
      </w:pPr>
      <w:r>
        <w:rPr>
          <w:rFonts w:hint="eastAsia"/>
          <w:sz w:val="21"/>
          <w:szCs w:val="24"/>
          <w:lang w:val="en-US" w:eastAsia="zh-CN"/>
        </w:rPr>
        <w:t>选择现场测控设备应优先考虑具有访问控制与审计功能，支持基于角色的访问控制策略，并对重要的安全性事件和重要生产活动进行审计；</w:t>
      </w:r>
    </w:p>
    <w:p>
      <w:pPr>
        <w:pStyle w:val="177"/>
        <w:numPr>
          <w:ilvl w:val="0"/>
          <w:numId w:val="33"/>
        </w:numPr>
        <w:spacing w:beforeLines="0" w:afterLines="0"/>
        <w:rPr>
          <w:rFonts w:hint="eastAsia"/>
          <w:sz w:val="21"/>
          <w:szCs w:val="24"/>
        </w:rPr>
      </w:pPr>
      <w:r>
        <w:rPr>
          <w:rFonts w:hint="eastAsia"/>
          <w:sz w:val="21"/>
          <w:szCs w:val="24"/>
          <w:lang w:val="en-US" w:eastAsia="zh-CN"/>
        </w:rPr>
        <w:t>选择现场测控设备应优先考虑具有数据完整性校验功能，具备防止对静态数据进行非授权写操作的保护机制（硬件或软件），并具备抵御数据包插入、丢失、重放、篡改的机制；</w:t>
      </w:r>
    </w:p>
    <w:p>
      <w:pPr>
        <w:pStyle w:val="177"/>
        <w:numPr>
          <w:ilvl w:val="0"/>
          <w:numId w:val="33"/>
        </w:numPr>
        <w:spacing w:beforeLines="0" w:afterLines="0"/>
        <w:rPr>
          <w:rFonts w:hint="eastAsia"/>
        </w:rPr>
      </w:pPr>
      <w:r>
        <w:rPr>
          <w:rFonts w:hint="eastAsia"/>
          <w:sz w:val="21"/>
          <w:szCs w:val="24"/>
          <w:lang w:val="en-US" w:eastAsia="zh-CN"/>
        </w:rPr>
        <w:t>采用的现场测控设备应具备保护存储和传输数据保</w:t>
      </w:r>
      <w:r>
        <w:rPr>
          <w:rFonts w:hint="eastAsia" w:ascii="宋体" w:hAnsi="Times New Roman" w:eastAsia="宋体" w:cs="Times New Roman"/>
          <w:color w:val="auto"/>
          <w:sz w:val="21"/>
          <w:szCs w:val="24"/>
          <w:lang w:val="en-US" w:eastAsia="zh-CN" w:bidi="ar-SA"/>
        </w:rPr>
        <w:t>密性的机制。</w:t>
      </w:r>
    </w:p>
    <w:p>
      <w:pPr>
        <w:pStyle w:val="68"/>
        <w:spacing w:before="156" w:after="156"/>
        <w:rPr>
          <w:rFonts w:hint="eastAsia" w:hAnsi="黑体"/>
          <w:color w:val="000000"/>
          <w:sz w:val="21"/>
          <w:szCs w:val="21"/>
        </w:rPr>
      </w:pPr>
      <w:bookmarkStart w:id="67" w:name="_Toc22593"/>
      <w:bookmarkStart w:id="68" w:name="_Toc11160"/>
      <w:r>
        <w:rPr>
          <w:rFonts w:hint="eastAsia" w:hAnsi="黑体"/>
          <w:color w:val="000000"/>
          <w:sz w:val="21"/>
          <w:szCs w:val="21"/>
        </w:rPr>
        <w:t>控制安全防护要求</w:t>
      </w:r>
      <w:bookmarkEnd w:id="67"/>
      <w:bookmarkEnd w:id="68"/>
    </w:p>
    <w:p>
      <w:pPr>
        <w:pStyle w:val="97"/>
        <w:spacing w:before="156" w:after="156"/>
        <w:rPr>
          <w:rFonts w:hint="eastAsia"/>
          <w:sz w:val="21"/>
          <w:szCs w:val="24"/>
        </w:rPr>
      </w:pPr>
      <w:bookmarkStart w:id="69" w:name="_Toc19523"/>
      <w:r>
        <w:rPr>
          <w:rFonts w:hint="eastAsia" w:hAnsi="黑体"/>
          <w:color w:val="000000"/>
          <w:sz w:val="21"/>
          <w:szCs w:val="21"/>
        </w:rPr>
        <w:t>应用工业互联网的工业企业控制系统安全防护要求</w:t>
      </w:r>
      <w:bookmarkEnd w:id="69"/>
    </w:p>
    <w:p>
      <w:pPr>
        <w:pStyle w:val="177"/>
        <w:numPr>
          <w:ilvl w:val="0"/>
          <w:numId w:val="34"/>
        </w:numPr>
        <w:spacing w:beforeLines="0" w:afterLines="0"/>
        <w:rPr>
          <w:rFonts w:hint="eastAsia"/>
          <w:sz w:val="21"/>
          <w:szCs w:val="24"/>
          <w:highlight w:val="none"/>
        </w:rPr>
      </w:pPr>
      <w:r>
        <w:rPr>
          <w:rFonts w:hint="eastAsia"/>
          <w:sz w:val="21"/>
          <w:szCs w:val="24"/>
          <w:highlight w:val="none"/>
        </w:rPr>
        <w:t>应建立工业控制系统的入侵防范管理机制；</w:t>
      </w:r>
    </w:p>
    <w:p>
      <w:pPr>
        <w:pStyle w:val="177"/>
        <w:numPr>
          <w:ilvl w:val="0"/>
          <w:numId w:val="34"/>
        </w:numPr>
        <w:spacing w:beforeLines="0" w:afterLines="0"/>
        <w:rPr>
          <w:rFonts w:hint="eastAsia"/>
          <w:sz w:val="21"/>
          <w:szCs w:val="24"/>
          <w:highlight w:val="none"/>
        </w:rPr>
      </w:pPr>
      <w:r>
        <w:rPr>
          <w:rFonts w:hint="eastAsia"/>
          <w:sz w:val="21"/>
          <w:szCs w:val="24"/>
          <w:highlight w:val="none"/>
        </w:rPr>
        <w:t>应对工业控制系统进行用户登录认证管理和权限控制；</w:t>
      </w:r>
    </w:p>
    <w:p>
      <w:pPr>
        <w:pStyle w:val="177"/>
        <w:numPr>
          <w:ilvl w:val="0"/>
          <w:numId w:val="34"/>
        </w:numPr>
        <w:spacing w:beforeLines="0" w:afterLines="0"/>
        <w:rPr>
          <w:rFonts w:hint="eastAsia"/>
          <w:color w:val="auto"/>
          <w:sz w:val="21"/>
          <w:szCs w:val="24"/>
          <w:highlight w:val="none"/>
        </w:rPr>
      </w:pPr>
      <w:r>
        <w:rPr>
          <w:rFonts w:hint="eastAsia"/>
          <w:color w:val="auto"/>
          <w:sz w:val="21"/>
          <w:szCs w:val="24"/>
          <w:highlight w:val="none"/>
        </w:rPr>
        <w:t>应对重要工业控制系统部署访问控制、操作审计等安全措施；</w:t>
      </w:r>
    </w:p>
    <w:p>
      <w:pPr>
        <w:pStyle w:val="177"/>
        <w:numPr>
          <w:ilvl w:val="0"/>
          <w:numId w:val="34"/>
        </w:numPr>
        <w:spacing w:beforeLines="0" w:afterLines="0"/>
        <w:rPr>
          <w:rFonts w:hint="eastAsia"/>
          <w:color w:val="auto"/>
          <w:sz w:val="21"/>
          <w:szCs w:val="24"/>
          <w:highlight w:val="none"/>
        </w:rPr>
      </w:pPr>
      <w:r>
        <w:rPr>
          <w:rFonts w:hint="eastAsia"/>
          <w:color w:val="auto"/>
          <w:sz w:val="21"/>
          <w:szCs w:val="24"/>
          <w:highlight w:val="none"/>
        </w:rPr>
        <w:t>应每半年针对工业主机进行一次恶意代码查杀，对临时接入设备在接入前进行恶意代码查杀，并留存相应记录；</w:t>
      </w:r>
    </w:p>
    <w:p>
      <w:pPr>
        <w:pStyle w:val="177"/>
        <w:numPr>
          <w:ilvl w:val="0"/>
          <w:numId w:val="34"/>
        </w:numPr>
        <w:spacing w:beforeLines="0" w:afterLines="0"/>
        <w:rPr>
          <w:rFonts w:hint="eastAsia"/>
          <w:color w:val="auto"/>
          <w:sz w:val="21"/>
          <w:szCs w:val="24"/>
          <w:highlight w:val="none"/>
        </w:rPr>
      </w:pPr>
      <w:r>
        <w:rPr>
          <w:rStyle w:val="35"/>
          <w:rFonts w:hint="eastAsia" w:ascii="Calibri" w:hAnsi="Calibri"/>
          <w:color w:val="auto"/>
          <w:kern w:val="2"/>
          <w:sz w:val="21"/>
          <w:szCs w:val="24"/>
          <w:highlight w:val="none"/>
        </w:rPr>
        <w:t>应对</w:t>
      </w:r>
      <w:r>
        <w:rPr>
          <w:rFonts w:hint="eastAsia"/>
          <w:color w:val="auto"/>
          <w:sz w:val="21"/>
          <w:szCs w:val="24"/>
          <w:highlight w:val="none"/>
        </w:rPr>
        <w:t>配置安全策略进行定期评估优化，并建立安全策略配置清单；</w:t>
      </w:r>
    </w:p>
    <w:p>
      <w:pPr>
        <w:pStyle w:val="177"/>
        <w:numPr>
          <w:ilvl w:val="0"/>
          <w:numId w:val="34"/>
        </w:numPr>
        <w:spacing w:beforeLines="0" w:afterLines="0"/>
        <w:rPr>
          <w:rFonts w:hint="eastAsia"/>
          <w:color w:val="auto"/>
          <w:sz w:val="21"/>
          <w:szCs w:val="24"/>
        </w:rPr>
      </w:pPr>
      <w:r>
        <w:rPr>
          <w:rFonts w:hint="eastAsia"/>
          <w:color w:val="auto"/>
          <w:sz w:val="21"/>
          <w:szCs w:val="24"/>
          <w:highlight w:val="none"/>
        </w:rPr>
        <w:t>工业控制系统</w:t>
      </w:r>
      <w:r>
        <w:rPr>
          <w:rFonts w:hint="eastAsia"/>
          <w:color w:val="auto"/>
          <w:sz w:val="21"/>
          <w:szCs w:val="24"/>
        </w:rPr>
        <w:t>不应与互联网直接相连，如确需连接互联网并从工业控制系统获取数据时，应部署单向隔离装置进行防护，以防止外部对工业控制系统进行渗透攻击和控制操作；</w:t>
      </w:r>
    </w:p>
    <w:p>
      <w:pPr>
        <w:pStyle w:val="177"/>
        <w:numPr>
          <w:ilvl w:val="0"/>
          <w:numId w:val="34"/>
        </w:numPr>
        <w:spacing w:beforeLines="0" w:afterLines="0"/>
        <w:rPr>
          <w:rFonts w:hint="eastAsia"/>
          <w:sz w:val="21"/>
          <w:szCs w:val="24"/>
        </w:rPr>
      </w:pPr>
      <w:r>
        <w:rPr>
          <w:rFonts w:hint="eastAsia"/>
          <w:color w:val="auto"/>
          <w:sz w:val="21"/>
          <w:szCs w:val="24"/>
        </w:rPr>
        <w:t>应对工</w:t>
      </w:r>
      <w:r>
        <w:rPr>
          <w:rFonts w:hint="eastAsia"/>
          <w:sz w:val="21"/>
          <w:szCs w:val="24"/>
        </w:rPr>
        <w:t>业控制系统相关访问日志（包括人员账户、访问时间、操作、内容等）保留至少6个月，并定期备份防止丢失或被篡改；</w:t>
      </w:r>
    </w:p>
    <w:p>
      <w:pPr>
        <w:pStyle w:val="177"/>
        <w:numPr>
          <w:ilvl w:val="0"/>
          <w:numId w:val="34"/>
        </w:numPr>
        <w:spacing w:beforeLines="0" w:afterLines="0"/>
        <w:rPr>
          <w:rFonts w:hint="eastAsia"/>
          <w:sz w:val="21"/>
          <w:szCs w:val="24"/>
        </w:rPr>
      </w:pPr>
      <w:r>
        <w:rPr>
          <w:rFonts w:hint="eastAsia"/>
          <w:sz w:val="21"/>
          <w:szCs w:val="24"/>
        </w:rPr>
        <w:t>对于新部署的工业控制系统，应在上线前进行安全检查评估。</w:t>
      </w:r>
    </w:p>
    <w:p>
      <w:pPr>
        <w:pStyle w:val="97"/>
        <w:spacing w:before="156" w:after="156"/>
        <w:rPr>
          <w:rFonts w:hint="eastAsia"/>
          <w:sz w:val="21"/>
          <w:szCs w:val="24"/>
        </w:rPr>
      </w:pPr>
      <w:bookmarkStart w:id="70" w:name="_Toc23225"/>
      <w:bookmarkStart w:id="71" w:name="_Toc31117"/>
      <w:r>
        <w:rPr>
          <w:rFonts w:hint="eastAsia"/>
          <w:sz w:val="21"/>
          <w:szCs w:val="24"/>
        </w:rPr>
        <w:t>组态软件安全要求</w:t>
      </w:r>
      <w:bookmarkEnd w:id="70"/>
      <w:bookmarkEnd w:id="71"/>
    </w:p>
    <w:p>
      <w:pPr>
        <w:pStyle w:val="177"/>
        <w:numPr>
          <w:ilvl w:val="0"/>
          <w:numId w:val="35"/>
        </w:numPr>
        <w:spacing w:beforeLines="0" w:afterLines="0"/>
        <w:rPr>
          <w:rFonts w:hint="eastAsia"/>
          <w:sz w:val="21"/>
          <w:szCs w:val="24"/>
        </w:rPr>
      </w:pPr>
      <w:r>
        <w:rPr>
          <w:rFonts w:hint="eastAsia"/>
          <w:sz w:val="21"/>
          <w:szCs w:val="24"/>
        </w:rPr>
        <w:t>应对组态软件进行用户登录认证管理和权限控制；</w:t>
      </w:r>
    </w:p>
    <w:p>
      <w:pPr>
        <w:pStyle w:val="177"/>
        <w:numPr>
          <w:ilvl w:val="0"/>
          <w:numId w:val="35"/>
        </w:numPr>
        <w:spacing w:beforeLines="0" w:afterLines="0"/>
        <w:rPr>
          <w:rFonts w:hint="eastAsia"/>
          <w:sz w:val="21"/>
          <w:szCs w:val="24"/>
        </w:rPr>
      </w:pPr>
      <w:r>
        <w:rPr>
          <w:rFonts w:hint="eastAsia"/>
          <w:sz w:val="21"/>
          <w:szCs w:val="24"/>
        </w:rPr>
        <w:t>应对组态软件应用层代码文件、工程文件、操作记录文件等进行完整性保护；</w:t>
      </w:r>
    </w:p>
    <w:p>
      <w:pPr>
        <w:pStyle w:val="177"/>
        <w:numPr>
          <w:ilvl w:val="0"/>
          <w:numId w:val="35"/>
        </w:numPr>
        <w:spacing w:beforeLines="0" w:afterLines="0"/>
        <w:rPr>
          <w:rFonts w:hint="eastAsia"/>
          <w:sz w:val="21"/>
          <w:szCs w:val="24"/>
        </w:rPr>
      </w:pPr>
      <w:r>
        <w:rPr>
          <w:rFonts w:hint="eastAsia"/>
          <w:sz w:val="21"/>
          <w:szCs w:val="24"/>
        </w:rPr>
        <w:t>应对组态软件的通信进行完整性保护；</w:t>
      </w:r>
    </w:p>
    <w:p>
      <w:pPr>
        <w:pStyle w:val="177"/>
        <w:numPr>
          <w:ilvl w:val="0"/>
          <w:numId w:val="35"/>
        </w:numPr>
        <w:spacing w:beforeLines="0" w:afterLines="0"/>
        <w:rPr>
          <w:rFonts w:hint="eastAsia"/>
          <w:sz w:val="21"/>
          <w:szCs w:val="24"/>
        </w:rPr>
      </w:pPr>
      <w:r>
        <w:rPr>
          <w:rFonts w:hint="eastAsia"/>
          <w:sz w:val="21"/>
          <w:szCs w:val="24"/>
        </w:rPr>
        <w:t>应具备对组态软件登录、访问、操作等审计措施；</w:t>
      </w:r>
    </w:p>
    <w:p>
      <w:pPr>
        <w:pStyle w:val="177"/>
        <w:numPr>
          <w:ilvl w:val="0"/>
          <w:numId w:val="35"/>
        </w:numPr>
        <w:spacing w:beforeLines="0" w:afterLines="0"/>
        <w:rPr>
          <w:rFonts w:hint="eastAsia"/>
          <w:sz w:val="21"/>
          <w:szCs w:val="24"/>
        </w:rPr>
      </w:pPr>
      <w:r>
        <w:rPr>
          <w:rFonts w:hint="eastAsia"/>
          <w:sz w:val="21"/>
          <w:szCs w:val="24"/>
        </w:rPr>
        <w:t>对新部署组态软件，应在上线前进行安全检查评估。</w:t>
      </w:r>
    </w:p>
    <w:p>
      <w:pPr>
        <w:pStyle w:val="97"/>
        <w:spacing w:before="156" w:after="156"/>
        <w:rPr>
          <w:rFonts w:hint="eastAsia"/>
          <w:color w:val="auto"/>
          <w:sz w:val="21"/>
          <w:szCs w:val="24"/>
          <w:highlight w:val="none"/>
        </w:rPr>
      </w:pPr>
      <w:bookmarkStart w:id="72" w:name="_Toc26851"/>
      <w:bookmarkStart w:id="73" w:name="_Toc7129"/>
      <w:r>
        <w:rPr>
          <w:rFonts w:hint="eastAsia" w:hAnsi="黑体"/>
          <w:color w:val="000000"/>
          <w:sz w:val="21"/>
          <w:szCs w:val="21"/>
        </w:rPr>
        <w:t>配置安全要求</w:t>
      </w:r>
      <w:bookmarkEnd w:id="72"/>
      <w:bookmarkEnd w:id="73"/>
    </w:p>
    <w:p>
      <w:pPr>
        <w:pStyle w:val="177"/>
        <w:numPr>
          <w:ilvl w:val="0"/>
          <w:numId w:val="36"/>
        </w:numPr>
        <w:spacing w:beforeLines="0" w:afterLines="0"/>
        <w:rPr>
          <w:rFonts w:hint="eastAsia"/>
          <w:color w:val="auto"/>
          <w:sz w:val="21"/>
          <w:szCs w:val="24"/>
          <w:highlight w:val="none"/>
        </w:rPr>
      </w:pPr>
      <w:r>
        <w:rPr>
          <w:rFonts w:hint="eastAsia"/>
          <w:color w:val="auto"/>
          <w:sz w:val="21"/>
          <w:szCs w:val="24"/>
          <w:highlight w:val="none"/>
        </w:rPr>
        <w:t>应建立针对控制服务器等重要工业控制系统关键设备安全配置的备份和审计机制，审计记录应至少包含访问控制、配置变更操作、配置变更结果</w:t>
      </w:r>
      <w:r>
        <w:rPr>
          <w:rFonts w:hint="eastAsia"/>
          <w:color w:val="auto"/>
          <w:sz w:val="21"/>
          <w:szCs w:val="24"/>
          <w:highlight w:val="none"/>
          <w:lang w:val="en-US" w:eastAsia="zh-CN"/>
        </w:rPr>
        <w:t>及</w:t>
      </w:r>
      <w:r>
        <w:rPr>
          <w:rFonts w:hint="eastAsia"/>
          <w:color w:val="auto"/>
          <w:sz w:val="21"/>
          <w:szCs w:val="24"/>
          <w:highlight w:val="none"/>
        </w:rPr>
        <w:t>时间戳等信息</w:t>
      </w:r>
    </w:p>
    <w:p>
      <w:pPr>
        <w:pStyle w:val="177"/>
        <w:numPr>
          <w:ilvl w:val="0"/>
          <w:numId w:val="36"/>
        </w:numPr>
        <w:spacing w:beforeLines="0" w:afterLines="0"/>
        <w:rPr>
          <w:rFonts w:hint="eastAsia"/>
          <w:color w:val="auto"/>
          <w:sz w:val="21"/>
          <w:szCs w:val="24"/>
          <w:highlight w:val="none"/>
        </w:rPr>
      </w:pPr>
      <w:r>
        <w:rPr>
          <w:rFonts w:hint="eastAsia"/>
          <w:color w:val="auto"/>
          <w:sz w:val="21"/>
          <w:szCs w:val="24"/>
          <w:highlight w:val="none"/>
        </w:rPr>
        <w:t>应按照最小化原则禁用非必要的后台程序、进程、端口、服务，应定期对账户、口令、端口、服务等内容进行检查，及时处理多余、过期、共享、僵尸账户；</w:t>
      </w:r>
    </w:p>
    <w:p>
      <w:pPr>
        <w:pStyle w:val="177"/>
        <w:numPr>
          <w:ilvl w:val="0"/>
          <w:numId w:val="36"/>
        </w:numPr>
        <w:spacing w:beforeLines="0" w:afterLines="0"/>
        <w:rPr>
          <w:rFonts w:hint="eastAsia"/>
          <w:color w:val="auto"/>
          <w:sz w:val="21"/>
          <w:szCs w:val="24"/>
          <w:highlight w:val="none"/>
        </w:rPr>
      </w:pPr>
      <w:r>
        <w:rPr>
          <w:rFonts w:hint="eastAsia"/>
          <w:color w:val="auto"/>
          <w:sz w:val="21"/>
          <w:szCs w:val="24"/>
          <w:highlight w:val="none"/>
        </w:rPr>
        <w:t>在进行配置变更时，应先完成配置变更测试验证，验证之后方可进行正式的配置变更，应对变更操作进行记录，在出现配置变更问题时可以进行快速回退复原；</w:t>
      </w:r>
    </w:p>
    <w:p>
      <w:pPr>
        <w:pStyle w:val="177"/>
        <w:numPr>
          <w:ilvl w:val="0"/>
          <w:numId w:val="36"/>
        </w:numPr>
        <w:spacing w:beforeLines="0" w:afterLines="0"/>
        <w:rPr>
          <w:rFonts w:hint="eastAsia"/>
          <w:color w:val="auto"/>
          <w:sz w:val="21"/>
          <w:szCs w:val="24"/>
          <w:highlight w:val="none"/>
        </w:rPr>
      </w:pPr>
      <w:r>
        <w:rPr>
          <w:rFonts w:hint="eastAsia"/>
          <w:color w:val="auto"/>
          <w:sz w:val="21"/>
          <w:szCs w:val="24"/>
          <w:highlight w:val="none"/>
        </w:rPr>
        <w:t>任何配置变更，应得到批准才能执行；紧急情况的变更，按照约定的程序执行；</w:t>
      </w:r>
    </w:p>
    <w:p>
      <w:pPr>
        <w:pStyle w:val="97"/>
        <w:spacing w:before="156" w:after="156"/>
        <w:rPr>
          <w:rFonts w:hint="eastAsia"/>
          <w:color w:val="auto"/>
          <w:sz w:val="21"/>
          <w:szCs w:val="24"/>
          <w:highlight w:val="none"/>
        </w:rPr>
      </w:pPr>
      <w:bookmarkStart w:id="74" w:name="_Toc20260"/>
      <w:bookmarkStart w:id="75" w:name="_Toc1557"/>
      <w:r>
        <w:rPr>
          <w:rFonts w:hint="eastAsia" w:hAnsi="黑体"/>
          <w:color w:val="auto"/>
          <w:sz w:val="21"/>
          <w:szCs w:val="21"/>
          <w:highlight w:val="none"/>
        </w:rPr>
        <w:t>智能装备控制安全要求</w:t>
      </w:r>
      <w:bookmarkEnd w:id="74"/>
      <w:bookmarkEnd w:id="75"/>
    </w:p>
    <w:p>
      <w:pPr>
        <w:pStyle w:val="177"/>
        <w:numPr>
          <w:ilvl w:val="0"/>
          <w:numId w:val="37"/>
        </w:numPr>
        <w:spacing w:beforeLines="0" w:afterLines="0"/>
        <w:rPr>
          <w:rFonts w:hint="eastAsia"/>
          <w:color w:val="auto"/>
          <w:sz w:val="21"/>
          <w:szCs w:val="24"/>
          <w:highlight w:val="none"/>
        </w:rPr>
      </w:pPr>
      <w:r>
        <w:rPr>
          <w:rFonts w:hint="eastAsia"/>
          <w:color w:val="auto"/>
          <w:sz w:val="21"/>
          <w:szCs w:val="24"/>
          <w:highlight w:val="none"/>
        </w:rPr>
        <w:t>对工业互联网平台直接控制的现场重要设备（如AGV、工业机器人、CNC数控机床、工业网关等），应确认设备身份的唯一性安全标识，以便针对现场重要设备进行安全识别和访问控制；</w:t>
      </w:r>
    </w:p>
    <w:p>
      <w:pPr>
        <w:pStyle w:val="177"/>
        <w:numPr>
          <w:ilvl w:val="0"/>
          <w:numId w:val="37"/>
        </w:numPr>
        <w:spacing w:beforeLines="0" w:afterLines="0"/>
        <w:rPr>
          <w:rFonts w:hint="eastAsia"/>
          <w:color w:val="auto"/>
          <w:sz w:val="21"/>
          <w:szCs w:val="24"/>
          <w:highlight w:val="none"/>
        </w:rPr>
      </w:pPr>
      <w:r>
        <w:rPr>
          <w:rFonts w:hint="eastAsia"/>
          <w:color w:val="auto"/>
          <w:sz w:val="21"/>
          <w:szCs w:val="24"/>
          <w:highlight w:val="none"/>
        </w:rPr>
        <w:t>现场重要设备应具有基本的对控制指令的来源识别验证、访问控制功能；</w:t>
      </w:r>
    </w:p>
    <w:p>
      <w:pPr>
        <w:pStyle w:val="177"/>
        <w:numPr>
          <w:ilvl w:val="0"/>
          <w:numId w:val="37"/>
        </w:numPr>
        <w:spacing w:beforeLines="0" w:afterLines="0"/>
        <w:rPr>
          <w:rFonts w:hint="default"/>
          <w:color w:val="auto"/>
          <w:sz w:val="21"/>
          <w:szCs w:val="24"/>
          <w:highlight w:val="none"/>
          <w:lang w:val="en-US" w:eastAsia="zh-CN"/>
        </w:rPr>
      </w:pPr>
      <w:r>
        <w:rPr>
          <w:rFonts w:hint="eastAsia"/>
          <w:color w:val="auto"/>
          <w:sz w:val="21"/>
          <w:szCs w:val="24"/>
          <w:highlight w:val="none"/>
        </w:rPr>
        <w:t>应采用校验技术或密码技术，使现场重要设备在进行数据交互过程中实现数据的完整性校验和机密性传输。</w:t>
      </w:r>
    </w:p>
    <w:p>
      <w:pPr>
        <w:pStyle w:val="68"/>
        <w:spacing w:before="156" w:after="156"/>
        <w:ind w:left="0" w:firstLine="0"/>
      </w:pPr>
      <w:bookmarkStart w:id="76" w:name="_Toc23725"/>
      <w:bookmarkStart w:id="77" w:name="_Toc3540"/>
      <w:r>
        <w:rPr>
          <w:rFonts w:hint="eastAsia" w:hAnsi="黑体"/>
          <w:color w:val="000000"/>
          <w:szCs w:val="21"/>
        </w:rPr>
        <w:t>网络</w:t>
      </w:r>
      <w:r>
        <w:rPr>
          <w:rFonts w:hAnsi="黑体"/>
          <w:color w:val="000000"/>
          <w:szCs w:val="21"/>
        </w:rPr>
        <w:t>安全防护要求</w:t>
      </w:r>
      <w:bookmarkEnd w:id="76"/>
      <w:bookmarkEnd w:id="77"/>
    </w:p>
    <w:p>
      <w:pPr>
        <w:pStyle w:val="97"/>
        <w:spacing w:before="156" w:after="156"/>
        <w:ind w:left="0" w:firstLine="0"/>
        <w:rPr>
          <w:rFonts w:ascii="宋体" w:hAnsi="Times New Roman" w:eastAsia="宋体" w:cs="Times New Roman"/>
          <w:sz w:val="21"/>
          <w:lang w:val="en-US" w:eastAsia="zh-CN" w:bidi="ar-SA"/>
        </w:rPr>
      </w:pPr>
      <w:bookmarkStart w:id="78" w:name="_Toc23424"/>
      <w:bookmarkStart w:id="79" w:name="_Toc13764"/>
      <w:r>
        <w:rPr>
          <w:rFonts w:hint="eastAsia" w:hAnsi="黑体"/>
          <w:szCs w:val="21"/>
        </w:rPr>
        <w:t>架构</w:t>
      </w:r>
      <w:r>
        <w:rPr>
          <w:rFonts w:hAnsi="黑体"/>
          <w:szCs w:val="21"/>
        </w:rPr>
        <w:t>安全要求</w:t>
      </w:r>
      <w:bookmarkEnd w:id="78"/>
      <w:bookmarkEnd w:id="79"/>
    </w:p>
    <w:p>
      <w:pPr>
        <w:pStyle w:val="177"/>
        <w:numPr>
          <w:ilvl w:val="0"/>
          <w:numId w:val="38"/>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在工业企业网络安全架构的设计、开发和更改前应考虑潜在的安全风险和所承载业务的重要性，实施并通过安全检查评估，并定期（例如每年）对网络安全架构进行评审；</w:t>
      </w:r>
    </w:p>
    <w:p>
      <w:pPr>
        <w:pStyle w:val="177"/>
        <w:numPr>
          <w:ilvl w:val="0"/>
          <w:numId w:val="38"/>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应根据安全风险评估结果，对工业企业划分不同的网络安全域，并按照方便管理和控制的原则为各安全域分配地址；</w:t>
      </w:r>
    </w:p>
    <w:p>
      <w:pPr>
        <w:pStyle w:val="177"/>
        <w:numPr>
          <w:ilvl w:val="0"/>
          <w:numId w:val="38"/>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应将控制系统网络与非控制系统网络进行逻辑分区，将关键控制系统网络与非关键控制系统网络进行逻辑分区；</w:t>
      </w:r>
    </w:p>
    <w:p>
      <w:pPr>
        <w:pStyle w:val="177"/>
        <w:numPr>
          <w:ilvl w:val="0"/>
          <w:numId w:val="38"/>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工业企业的网络带宽设计指标应大于网络带宽需求指标，网络带宽的大小应满足业务高峰期需求，并考虑异常生产工况、突发业务等情况下的带宽需求；</w:t>
      </w:r>
    </w:p>
    <w:p>
      <w:pPr>
        <w:pStyle w:val="177"/>
        <w:numPr>
          <w:ilvl w:val="0"/>
          <w:numId w:val="38"/>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应保证网络设备的业务处理能力满足业务高峰期需要；</w:t>
      </w:r>
    </w:p>
    <w:p>
      <w:pPr>
        <w:pStyle w:val="97"/>
        <w:spacing w:before="156" w:after="156"/>
        <w:ind w:left="0" w:firstLine="0"/>
      </w:pPr>
      <w:bookmarkStart w:id="80" w:name="_Toc20400"/>
      <w:bookmarkStart w:id="81" w:name="_Toc10455"/>
      <w:r>
        <w:rPr>
          <w:rFonts w:hint="eastAsia" w:hAnsi="黑体"/>
          <w:color w:val="000000"/>
          <w:szCs w:val="21"/>
        </w:rPr>
        <w:t>边界</w:t>
      </w:r>
      <w:r>
        <w:rPr>
          <w:rFonts w:hAnsi="黑体"/>
          <w:color w:val="000000"/>
          <w:szCs w:val="21"/>
        </w:rPr>
        <w:t>安全要求</w:t>
      </w:r>
      <w:bookmarkEnd w:id="80"/>
      <w:bookmarkEnd w:id="81"/>
    </w:p>
    <w:p>
      <w:pPr>
        <w:pStyle w:val="177"/>
        <w:numPr>
          <w:ilvl w:val="0"/>
          <w:numId w:val="39"/>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工业企业应定义明确企业网络与互联网、企业网络内部各控制系统网络和非控制系统网络、关键控制系统网络与非关键控制系统网络的安全边界；</w:t>
      </w:r>
    </w:p>
    <w:p>
      <w:pPr>
        <w:pStyle w:val="177"/>
        <w:numPr>
          <w:ilvl w:val="0"/>
          <w:numId w:val="39"/>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应避免将重要网络区域部署在边界处，重要网络区域与其他网络区域之间应采取可靠的技术隔离手段；</w:t>
      </w:r>
    </w:p>
    <w:p>
      <w:pPr>
        <w:pStyle w:val="177"/>
        <w:numPr>
          <w:ilvl w:val="0"/>
          <w:numId w:val="39"/>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应对与互联网及其他公共信息网络进行逻辑隔离；</w:t>
      </w:r>
    </w:p>
    <w:p>
      <w:pPr>
        <w:pStyle w:val="177"/>
        <w:numPr>
          <w:ilvl w:val="0"/>
          <w:numId w:val="39"/>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应在控制系统或工业控制现场设备和互联网的边界采取安全防护措施；</w:t>
      </w:r>
    </w:p>
    <w:p>
      <w:pPr>
        <w:pStyle w:val="177"/>
        <w:numPr>
          <w:ilvl w:val="0"/>
          <w:numId w:val="39"/>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应对网络边界进行安全监测，识别网络边界的入侵行为；</w:t>
      </w:r>
    </w:p>
    <w:p>
      <w:pPr>
        <w:pStyle w:val="177"/>
        <w:numPr>
          <w:ilvl w:val="0"/>
          <w:numId w:val="39"/>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应能对网络边界的入侵行为进行有效阻断；</w:t>
      </w:r>
    </w:p>
    <w:p>
      <w:pPr>
        <w:pStyle w:val="97"/>
        <w:spacing w:before="156" w:after="156"/>
        <w:ind w:left="0" w:firstLine="0"/>
      </w:pPr>
      <w:bookmarkStart w:id="82" w:name="_Toc21928"/>
      <w:bookmarkStart w:id="83" w:name="_Toc11350"/>
      <w:r>
        <w:rPr>
          <w:rFonts w:hint="eastAsia" w:hAnsi="黑体"/>
          <w:color w:val="000000"/>
          <w:szCs w:val="21"/>
        </w:rPr>
        <w:t>通信</w:t>
      </w:r>
      <w:r>
        <w:rPr>
          <w:rFonts w:hAnsi="黑体"/>
          <w:color w:val="000000"/>
          <w:szCs w:val="21"/>
        </w:rPr>
        <w:t>安全要求</w:t>
      </w:r>
      <w:bookmarkEnd w:id="82"/>
      <w:bookmarkEnd w:id="83"/>
    </w:p>
    <w:p>
      <w:pPr>
        <w:pStyle w:val="177"/>
        <w:numPr>
          <w:ilvl w:val="0"/>
          <w:numId w:val="40"/>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应采用校验码技术或加解密技术保证</w:t>
      </w:r>
      <w:bookmarkStart w:id="84" w:name="_Hlk109048700"/>
      <w:r>
        <w:rPr>
          <w:rFonts w:hint="eastAsia"/>
          <w:color w:val="auto"/>
          <w:sz w:val="21"/>
          <w:szCs w:val="24"/>
          <w:highlight w:val="none"/>
          <w:lang w:val="en-US" w:eastAsia="zh-CN"/>
        </w:rPr>
        <w:t>工业企业网络</w:t>
      </w:r>
      <w:bookmarkEnd w:id="84"/>
      <w:r>
        <w:rPr>
          <w:rFonts w:hint="eastAsia"/>
          <w:color w:val="auto"/>
          <w:sz w:val="21"/>
          <w:szCs w:val="24"/>
          <w:highlight w:val="none"/>
          <w:lang w:val="en-US" w:eastAsia="zh-CN"/>
        </w:rPr>
        <w:t>通信传输的完整性；</w:t>
      </w:r>
    </w:p>
    <w:p>
      <w:pPr>
        <w:pStyle w:val="177"/>
        <w:numPr>
          <w:ilvl w:val="0"/>
          <w:numId w:val="40"/>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应采用加解密技术保证工业企业网络通信传输的保密性；</w:t>
      </w:r>
    </w:p>
    <w:p>
      <w:pPr>
        <w:pStyle w:val="177"/>
        <w:numPr>
          <w:ilvl w:val="0"/>
          <w:numId w:val="40"/>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通过互联网及其他公共信息网络进行通信数据传输时，应采用加密认证技术手段进行数据传输，对传输设备进行身份认证、访问控制；</w:t>
      </w:r>
    </w:p>
    <w:p>
      <w:pPr>
        <w:pStyle w:val="177"/>
        <w:numPr>
          <w:ilvl w:val="0"/>
          <w:numId w:val="40"/>
        </w:numPr>
        <w:spacing w:beforeLines="0" w:afterLines="0"/>
        <w:rPr>
          <w:rFonts w:hint="default"/>
          <w:lang w:val="en-US" w:eastAsia="zh-CN"/>
        </w:rPr>
      </w:pPr>
      <w:r>
        <w:rPr>
          <w:rFonts w:hint="eastAsia"/>
          <w:color w:val="auto"/>
          <w:sz w:val="21"/>
          <w:szCs w:val="24"/>
          <w:highlight w:val="none"/>
          <w:lang w:val="en-US" w:eastAsia="zh-CN"/>
        </w:rPr>
        <w:t>应对无线连接的授权、监视以及执行使用进行限制；</w:t>
      </w:r>
    </w:p>
    <w:p>
      <w:pPr>
        <w:pStyle w:val="68"/>
        <w:spacing w:before="156" w:after="156"/>
      </w:pPr>
      <w:bookmarkStart w:id="85" w:name="_Toc2358"/>
      <w:r>
        <w:rPr>
          <w:rFonts w:hAnsi="黑体"/>
          <w:color w:val="000000"/>
          <w:szCs w:val="21"/>
        </w:rPr>
        <w:t>数据安全防护要求</w:t>
      </w:r>
      <w:bookmarkEnd w:id="85"/>
    </w:p>
    <w:p>
      <w:pPr>
        <w:pStyle w:val="59"/>
        <w:ind w:firstLine="420"/>
        <w:rPr>
          <w:rFonts w:hAnsi="宋体"/>
          <w:color w:val="000000"/>
          <w:szCs w:val="21"/>
        </w:rPr>
      </w:pPr>
      <w:r>
        <w:rPr>
          <w:rFonts w:hAnsi="宋体"/>
          <w:color w:val="000000"/>
          <w:szCs w:val="21"/>
        </w:rPr>
        <w:t>应按照</w:t>
      </w:r>
      <w:r>
        <w:rPr>
          <w:rFonts w:hint="eastAsia" w:hAnsi="宋体"/>
          <w:color w:val="000000"/>
          <w:szCs w:val="21"/>
        </w:rPr>
        <w:t>《工业互联网企业网络安全 第4部分：数据防护要求》对应用工业互联网的工业企业所使用的数据进行分类分级，依据分级要求采取对应的数据安全防护措施。</w:t>
      </w:r>
    </w:p>
    <w:p>
      <w:pPr>
        <w:pStyle w:val="68"/>
        <w:spacing w:before="156" w:after="156"/>
        <w:ind w:left="0" w:firstLine="0"/>
        <w:rPr>
          <w:rFonts w:hAnsi="黑体"/>
          <w:color w:val="000000"/>
          <w:szCs w:val="21"/>
        </w:rPr>
      </w:pPr>
      <w:bookmarkStart w:id="86" w:name="_Toc32465"/>
      <w:bookmarkStart w:id="87" w:name="_Toc7590"/>
      <w:r>
        <w:rPr>
          <w:rFonts w:hint="eastAsia" w:hAnsi="黑体"/>
          <w:color w:val="000000"/>
          <w:szCs w:val="21"/>
        </w:rPr>
        <w:t>软件安全防护要求</w:t>
      </w:r>
      <w:bookmarkEnd w:id="86"/>
      <w:bookmarkEnd w:id="87"/>
    </w:p>
    <w:p>
      <w:pPr>
        <w:pStyle w:val="97"/>
        <w:spacing w:before="156" w:after="156"/>
        <w:ind w:left="0" w:firstLine="0"/>
        <w:rPr>
          <w:szCs w:val="24"/>
        </w:rPr>
      </w:pPr>
      <w:bookmarkStart w:id="88" w:name="_Toc2875"/>
      <w:r>
        <w:rPr>
          <w:rFonts w:hint="eastAsia"/>
          <w:szCs w:val="24"/>
        </w:rPr>
        <w:t>工业互联网设备固件安全要求</w:t>
      </w:r>
      <w:bookmarkEnd w:id="88"/>
    </w:p>
    <w:p>
      <w:pPr>
        <w:pStyle w:val="177"/>
        <w:numPr>
          <w:ilvl w:val="0"/>
          <w:numId w:val="41"/>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应建立各类工业互联网设备的设备型号、固件名称、固件版本及固件系统信息等安全台账信息；</w:t>
      </w:r>
    </w:p>
    <w:p>
      <w:pPr>
        <w:pStyle w:val="177"/>
        <w:numPr>
          <w:ilvl w:val="0"/>
          <w:numId w:val="41"/>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依据安全台账信息，应定期检查工业互联网安全漏洞平台披露的漏洞信息，如检查发现存在高危漏洞设备，应第一时间启动应急处置并联系厂商升级固件；</w:t>
      </w:r>
    </w:p>
    <w:p>
      <w:pPr>
        <w:pStyle w:val="177"/>
        <w:numPr>
          <w:ilvl w:val="0"/>
          <w:numId w:val="41"/>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设备固件升级前应确认固件文件的特征码与厂商提供的特征码一致，避免固件被恶意篡改或替换；</w:t>
      </w:r>
    </w:p>
    <w:p>
      <w:pPr>
        <w:pStyle w:val="177"/>
        <w:numPr>
          <w:ilvl w:val="0"/>
          <w:numId w:val="41"/>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设备固件升级应具有向后兼容性，固件升级后系统应保留原有的配置信息；</w:t>
      </w:r>
    </w:p>
    <w:p>
      <w:pPr>
        <w:pStyle w:val="177"/>
        <w:numPr>
          <w:ilvl w:val="0"/>
          <w:numId w:val="41"/>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设备固件升级前应利用固件安全检测工具静态扫描漏洞后门，提前发现越权执行、缓冲区溢出、远程命令执行、密钥泄露、隐藏后门、配置不当等各种安全隐患。</w:t>
      </w:r>
    </w:p>
    <w:p>
      <w:pPr>
        <w:pStyle w:val="97"/>
        <w:spacing w:before="156" w:after="156"/>
        <w:ind w:left="0" w:firstLine="0"/>
        <w:rPr>
          <w:szCs w:val="24"/>
        </w:rPr>
      </w:pPr>
      <w:bookmarkStart w:id="89" w:name="_Toc16132"/>
      <w:bookmarkStart w:id="90" w:name="_Toc10360"/>
      <w:r>
        <w:rPr>
          <w:rFonts w:hint="eastAsia"/>
          <w:szCs w:val="24"/>
        </w:rPr>
        <w:t>生产控制软件安全要求</w:t>
      </w:r>
      <w:bookmarkEnd w:id="89"/>
      <w:bookmarkEnd w:id="90"/>
    </w:p>
    <w:p>
      <w:pPr>
        <w:pStyle w:val="177"/>
        <w:numPr>
          <w:ilvl w:val="0"/>
          <w:numId w:val="42"/>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生产控制软件开发、升级或更新后，应进行充分的离线测试，确保软件的可用性和安全性后，再部署到工业企业现场；</w:t>
      </w:r>
    </w:p>
    <w:p>
      <w:pPr>
        <w:pStyle w:val="177"/>
        <w:numPr>
          <w:ilvl w:val="0"/>
          <w:numId w:val="42"/>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应具备登录控制功能，对登录用户进行身份识别和鉴别；</w:t>
      </w:r>
    </w:p>
    <w:p>
      <w:pPr>
        <w:pStyle w:val="177"/>
        <w:numPr>
          <w:ilvl w:val="0"/>
          <w:numId w:val="42"/>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应保存启动、停止、复位以及用户登录、退出等关键动作的操作日志，并定期审计；</w:t>
      </w:r>
    </w:p>
    <w:p>
      <w:pPr>
        <w:pStyle w:val="177"/>
        <w:numPr>
          <w:ilvl w:val="0"/>
          <w:numId w:val="42"/>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如果生产控制软件本身无法实现安全要求，可以通过网络设备、安全设备或安全管理等其他设备或手段，满足相应的安全要求。</w:t>
      </w:r>
    </w:p>
    <w:p>
      <w:pPr>
        <w:pStyle w:val="97"/>
        <w:spacing w:before="156" w:after="156"/>
        <w:ind w:left="0" w:firstLine="0"/>
        <w:rPr>
          <w:szCs w:val="24"/>
        </w:rPr>
      </w:pPr>
      <w:bookmarkStart w:id="91" w:name="_Toc15080"/>
      <w:bookmarkStart w:id="92" w:name="_Toc10949"/>
      <w:r>
        <w:rPr>
          <w:rFonts w:hint="eastAsia"/>
          <w:szCs w:val="24"/>
        </w:rPr>
        <w:t>本地部署平台软件安全要求</w:t>
      </w:r>
      <w:bookmarkEnd w:id="91"/>
      <w:bookmarkEnd w:id="92"/>
    </w:p>
    <w:p>
      <w:pPr>
        <w:pStyle w:val="177"/>
        <w:numPr>
          <w:ilvl w:val="0"/>
          <w:numId w:val="43"/>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平台软件开发、升级或更新后，应进行充分的测试，确保软件的可用性和安全性后，再部署到工业企业现场；</w:t>
      </w:r>
    </w:p>
    <w:p>
      <w:pPr>
        <w:pStyle w:val="177"/>
        <w:numPr>
          <w:ilvl w:val="0"/>
          <w:numId w:val="43"/>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应建立统一的安全机制，包括安全事件识别、响应、报送、处置机制；</w:t>
      </w:r>
    </w:p>
    <w:p>
      <w:pPr>
        <w:pStyle w:val="177"/>
        <w:numPr>
          <w:ilvl w:val="0"/>
          <w:numId w:val="43"/>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应在平台内部区分不同模块的读写权限并限制读写范围；</w:t>
      </w:r>
    </w:p>
    <w:p>
      <w:pPr>
        <w:pStyle w:val="177"/>
        <w:numPr>
          <w:ilvl w:val="0"/>
          <w:numId w:val="43"/>
        </w:numPr>
        <w:spacing w:beforeLines="0" w:afterLines="0"/>
        <w:rPr>
          <w:rFonts w:ascii="宋体" w:hAnsi="Times New Roman" w:eastAsia="宋体" w:cs="Times New Roman"/>
          <w:sz w:val="21"/>
          <w:szCs w:val="24"/>
          <w:lang w:val="en-US" w:eastAsia="zh-CN" w:bidi="ar-SA"/>
        </w:rPr>
      </w:pPr>
      <w:r>
        <w:rPr>
          <w:rFonts w:hint="eastAsia"/>
          <w:color w:val="auto"/>
          <w:sz w:val="21"/>
          <w:szCs w:val="24"/>
          <w:highlight w:val="none"/>
          <w:lang w:val="en-US" w:eastAsia="zh-CN"/>
        </w:rPr>
        <w:t>应具备虚拟化安全设备，对平台内的功能模块、虚拟机等资源进行安全防护。</w:t>
      </w:r>
    </w:p>
    <w:p>
      <w:pPr>
        <w:pStyle w:val="97"/>
        <w:spacing w:before="156" w:after="156"/>
        <w:ind w:left="0" w:firstLine="0"/>
        <w:rPr>
          <w:szCs w:val="24"/>
        </w:rPr>
      </w:pPr>
      <w:bookmarkStart w:id="93" w:name="_Toc29058"/>
      <w:bookmarkStart w:id="94" w:name="_Toc20020"/>
      <w:r>
        <w:rPr>
          <w:rFonts w:hint="eastAsia"/>
          <w:szCs w:val="24"/>
        </w:rPr>
        <w:t>第三方平台软件安全要求</w:t>
      </w:r>
      <w:bookmarkEnd w:id="93"/>
      <w:bookmarkEnd w:id="94"/>
    </w:p>
    <w:p>
      <w:pPr>
        <w:pStyle w:val="177"/>
        <w:numPr>
          <w:ilvl w:val="0"/>
          <w:numId w:val="44"/>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第三方平台软件开发、升级或更新后，应进行充分的测试，确保软件的可用性和安全性后，再部署到工业企业现场；</w:t>
      </w:r>
    </w:p>
    <w:p>
      <w:pPr>
        <w:pStyle w:val="177"/>
        <w:numPr>
          <w:ilvl w:val="0"/>
          <w:numId w:val="44"/>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在使用第三方平台的过程中，应定期更新平台软件，确保及时消除平台漏洞和隐患；</w:t>
      </w:r>
    </w:p>
    <w:p>
      <w:pPr>
        <w:pStyle w:val="177"/>
        <w:numPr>
          <w:ilvl w:val="0"/>
          <w:numId w:val="44"/>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应明确区分工业企业与第三方平台的管理边界，工业企业应保存所管理软件的操作日志，并定期审计；</w:t>
      </w:r>
    </w:p>
    <w:p>
      <w:pPr>
        <w:pStyle w:val="177"/>
        <w:numPr>
          <w:ilvl w:val="0"/>
          <w:numId w:val="44"/>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应限制接口的访问权限，并验证接口调用程序的电子签名，或采用其他方式确认调用程序的合法性；</w:t>
      </w:r>
    </w:p>
    <w:p>
      <w:pPr>
        <w:pStyle w:val="177"/>
        <w:numPr>
          <w:ilvl w:val="0"/>
          <w:numId w:val="44"/>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应按照分级分类原则，管理接入第三方云平台软件的企业数据。</w:t>
      </w:r>
    </w:p>
    <w:p>
      <w:pPr>
        <w:pStyle w:val="97"/>
        <w:spacing w:before="156" w:after="156"/>
        <w:ind w:left="0" w:firstLine="0"/>
        <w:rPr>
          <w:szCs w:val="24"/>
        </w:rPr>
      </w:pPr>
      <w:bookmarkStart w:id="95" w:name="_Toc19094"/>
      <w:bookmarkStart w:id="96" w:name="_Toc24904"/>
      <w:r>
        <w:rPr>
          <w:rFonts w:hint="eastAsia"/>
          <w:szCs w:val="24"/>
        </w:rPr>
        <w:t>工业APP安全要求</w:t>
      </w:r>
      <w:bookmarkEnd w:id="95"/>
      <w:bookmarkEnd w:id="96"/>
    </w:p>
    <w:p>
      <w:pPr>
        <w:pStyle w:val="177"/>
        <w:numPr>
          <w:ilvl w:val="0"/>
          <w:numId w:val="45"/>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工业APP开发、升级或更新后，应进行充分的测试，确保软件的可用性和安全性后，再部署到工业企业现场；</w:t>
      </w:r>
    </w:p>
    <w:p>
      <w:pPr>
        <w:pStyle w:val="177"/>
        <w:numPr>
          <w:ilvl w:val="0"/>
          <w:numId w:val="45"/>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应在工业APP中集成具有网络安全防护功能的模块；</w:t>
      </w:r>
    </w:p>
    <w:p>
      <w:pPr>
        <w:pStyle w:val="177"/>
        <w:numPr>
          <w:ilvl w:val="0"/>
          <w:numId w:val="45"/>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应对使用工业APP的用户进行身份认证；</w:t>
      </w:r>
    </w:p>
    <w:p>
      <w:pPr>
        <w:pStyle w:val="177"/>
        <w:numPr>
          <w:ilvl w:val="0"/>
          <w:numId w:val="45"/>
        </w:numPr>
        <w:spacing w:beforeLines="0" w:afterLines="0"/>
        <w:rPr>
          <w:rFonts w:hint="eastAsia"/>
          <w:color w:val="auto"/>
          <w:sz w:val="21"/>
          <w:szCs w:val="24"/>
          <w:highlight w:val="none"/>
          <w:lang w:val="en-US" w:eastAsia="zh-CN"/>
        </w:rPr>
      </w:pPr>
      <w:r>
        <w:rPr>
          <w:rFonts w:hint="eastAsia"/>
          <w:color w:val="auto"/>
          <w:sz w:val="21"/>
          <w:szCs w:val="24"/>
          <w:highlight w:val="none"/>
          <w:lang w:val="en-US" w:eastAsia="zh-CN"/>
        </w:rPr>
        <w:t>在使用工业APP过程中，应当区分工程师、操作员、管理员、审计员等不同角色，并赋予不同操作权限。</w:t>
      </w:r>
    </w:p>
    <w:p>
      <w:pPr>
        <w:pStyle w:val="68"/>
        <w:spacing w:before="156" w:after="156"/>
      </w:pPr>
      <w:bookmarkStart w:id="97" w:name="_Toc32561"/>
      <w:r>
        <w:rPr>
          <w:rFonts w:hint="eastAsia" w:hAnsi="黑体"/>
          <w:color w:val="000000"/>
          <w:szCs w:val="21"/>
        </w:rPr>
        <w:t>网络安全管理</w:t>
      </w:r>
      <w:r>
        <w:rPr>
          <w:rFonts w:hAnsi="黑体"/>
          <w:color w:val="000000"/>
          <w:szCs w:val="21"/>
        </w:rPr>
        <w:t>要求</w:t>
      </w:r>
      <w:bookmarkEnd w:id="97"/>
    </w:p>
    <w:p>
      <w:pPr>
        <w:pStyle w:val="97"/>
        <w:spacing w:before="156" w:after="156"/>
      </w:pPr>
      <w:bookmarkStart w:id="98" w:name="_Toc29240"/>
      <w:r>
        <w:rPr>
          <w:rFonts w:hint="eastAsia" w:hAnsi="黑体"/>
          <w:color w:val="000000"/>
          <w:szCs w:val="21"/>
        </w:rPr>
        <w:t>安全管理制度</w:t>
      </w:r>
      <w:bookmarkEnd w:id="98"/>
    </w:p>
    <w:p>
      <w:pPr>
        <w:pStyle w:val="177"/>
        <w:numPr>
          <w:ilvl w:val="0"/>
          <w:numId w:val="46"/>
        </w:numPr>
      </w:pPr>
      <w:r>
        <w:rPr>
          <w:rFonts w:hint="eastAsia"/>
        </w:rPr>
        <w:t>应对安全管理活动中重要的管理内容建立安全管理制度；</w:t>
      </w:r>
    </w:p>
    <w:p>
      <w:pPr>
        <w:pStyle w:val="177"/>
        <w:numPr>
          <w:ilvl w:val="0"/>
          <w:numId w:val="46"/>
        </w:numPr>
      </w:pPr>
      <w:r>
        <w:rPr>
          <w:rFonts w:hint="eastAsia"/>
        </w:rPr>
        <w:t>应制定安全工作的总体方针和安全策略，说明机构安全工作的总体目标、范围、原则和安全框架等；</w:t>
      </w:r>
    </w:p>
    <w:p>
      <w:pPr>
        <w:pStyle w:val="177"/>
        <w:numPr>
          <w:ilvl w:val="0"/>
          <w:numId w:val="46"/>
        </w:numPr>
      </w:pPr>
      <w:r>
        <w:rPr>
          <w:rFonts w:hint="eastAsia"/>
        </w:rPr>
        <w:t>应指定或授权专门的部门或人员负责安全管理制度的制定；</w:t>
      </w:r>
    </w:p>
    <w:p>
      <w:pPr>
        <w:pStyle w:val="177"/>
        <w:numPr>
          <w:ilvl w:val="0"/>
          <w:numId w:val="46"/>
        </w:numPr>
      </w:pPr>
      <w:r>
        <w:rPr>
          <w:rFonts w:hint="eastAsia"/>
        </w:rPr>
        <w:t>安全管理制度应通过正式、有效的方式发布，并进行版本控制；</w:t>
      </w:r>
    </w:p>
    <w:p>
      <w:pPr>
        <w:pStyle w:val="177"/>
        <w:numPr>
          <w:ilvl w:val="0"/>
          <w:numId w:val="46"/>
        </w:numPr>
      </w:pPr>
      <w:r>
        <w:rPr>
          <w:rFonts w:hint="eastAsia"/>
        </w:rPr>
        <w:t>应定期对安全管理制度的合理性和适用性进行论证和审定，对存在不足或需要改进的安全管理制度进行修订。</w:t>
      </w:r>
    </w:p>
    <w:p>
      <w:pPr>
        <w:pStyle w:val="97"/>
        <w:spacing w:before="156" w:after="156"/>
      </w:pPr>
      <w:bookmarkStart w:id="99" w:name="_Toc13711"/>
      <w:r>
        <w:rPr>
          <w:rFonts w:hint="eastAsia" w:hAnsi="黑体"/>
          <w:color w:val="000000"/>
          <w:szCs w:val="21"/>
        </w:rPr>
        <w:t>安全管理机构和人员要求</w:t>
      </w:r>
      <w:bookmarkEnd w:id="99"/>
    </w:p>
    <w:p>
      <w:pPr>
        <w:pStyle w:val="101"/>
        <w:spacing w:before="156" w:after="156"/>
      </w:pPr>
      <w:r>
        <w:rPr>
          <w:rFonts w:hint="eastAsia" w:hAnsi="黑体"/>
          <w:color w:val="000000"/>
          <w:szCs w:val="21"/>
        </w:rPr>
        <w:t>安全管理机构</w:t>
      </w:r>
    </w:p>
    <w:p>
      <w:pPr>
        <w:pStyle w:val="177"/>
        <w:numPr>
          <w:ilvl w:val="0"/>
          <w:numId w:val="47"/>
        </w:numPr>
      </w:pPr>
      <w:r>
        <w:rPr>
          <w:rFonts w:hint="eastAsia"/>
        </w:rPr>
        <w:t>应明确指定特定机构，具体承担网络安全管理工作，组织制定和落实网络安全管理制度，实施网络安全技术防护措施，开展网络安全宣传教育培训，执行网络安全监督检查等；</w:t>
      </w:r>
    </w:p>
    <w:p>
      <w:pPr>
        <w:pStyle w:val="177"/>
        <w:numPr>
          <w:ilvl w:val="0"/>
          <w:numId w:val="47"/>
        </w:numPr>
      </w:pPr>
      <w:r>
        <w:rPr>
          <w:rFonts w:hint="eastAsia"/>
        </w:rPr>
        <w:t>应设立安全管理工作的职能部门，设立安全主管、安全管理各个方面的负责人岗位，并明确部门及各负责人的职责；</w:t>
      </w:r>
    </w:p>
    <w:p>
      <w:pPr>
        <w:pStyle w:val="177"/>
        <w:numPr>
          <w:ilvl w:val="0"/>
          <w:numId w:val="47"/>
        </w:numPr>
      </w:pPr>
      <w:r>
        <w:rPr>
          <w:rFonts w:hint="eastAsia"/>
        </w:rPr>
        <w:t>应设立系统管理员、网络管理员、安全管理员等岗位，配备一定数量的系统管理员、网络管理员、安全管理员等，并明确各个工作岗位的职责；</w:t>
      </w:r>
    </w:p>
    <w:p>
      <w:pPr>
        <w:pStyle w:val="177"/>
        <w:numPr>
          <w:ilvl w:val="0"/>
          <w:numId w:val="47"/>
        </w:numPr>
      </w:pPr>
      <w:r>
        <w:rPr>
          <w:rFonts w:hint="eastAsia"/>
        </w:rPr>
        <w:t>应根据各个部门和岗位的职责明确授权审批事项、审批部门和批准人等；</w:t>
      </w:r>
    </w:p>
    <w:p>
      <w:pPr>
        <w:pStyle w:val="177"/>
        <w:numPr>
          <w:ilvl w:val="0"/>
          <w:numId w:val="47"/>
        </w:numPr>
      </w:pPr>
      <w:r>
        <w:rPr>
          <w:rFonts w:hint="eastAsia"/>
        </w:rPr>
        <w:t>应针对系统变更、重要操作、物理访问和系统接入等事项执行审批过程</w:t>
      </w:r>
      <w:r>
        <w:rPr>
          <w:rFonts w:hint="eastAsia"/>
          <w:lang w:eastAsia="zh-CN"/>
        </w:rPr>
        <w:t>。</w:t>
      </w:r>
    </w:p>
    <w:p>
      <w:pPr>
        <w:pStyle w:val="101"/>
        <w:spacing w:before="156" w:after="156"/>
      </w:pPr>
      <w:r>
        <w:rPr>
          <w:rFonts w:hint="eastAsia" w:hAnsi="黑体"/>
          <w:color w:val="000000"/>
          <w:szCs w:val="21"/>
        </w:rPr>
        <w:t>人员要求</w:t>
      </w:r>
    </w:p>
    <w:p>
      <w:pPr>
        <w:pStyle w:val="177"/>
        <w:numPr>
          <w:ilvl w:val="0"/>
          <w:numId w:val="48"/>
        </w:numPr>
      </w:pPr>
      <w:r>
        <w:rPr>
          <w:rFonts w:hint="eastAsia"/>
        </w:rPr>
        <w:t>应加强各类管理人员之间、组织内部机构之间以及安全职能部门内部的合作与沟通，定期召开协调会议，共同协作处理安全问题；</w:t>
      </w:r>
    </w:p>
    <w:p>
      <w:pPr>
        <w:pStyle w:val="177"/>
        <w:numPr>
          <w:ilvl w:val="0"/>
          <w:numId w:val="48"/>
        </w:numPr>
      </w:pPr>
      <w:r>
        <w:rPr>
          <w:rFonts w:hint="eastAsia"/>
        </w:rPr>
        <w:t>应加强与工业互联网安全主管部门、各类供应商、业界专家等合作与沟通；</w:t>
      </w:r>
    </w:p>
    <w:p>
      <w:pPr>
        <w:pStyle w:val="177"/>
        <w:numPr>
          <w:ilvl w:val="0"/>
          <w:numId w:val="48"/>
        </w:numPr>
      </w:pPr>
      <w:r>
        <w:rPr>
          <w:rFonts w:hint="eastAsia"/>
        </w:rPr>
        <w:t>应指定或授权特定的部门或人员负责人员录用；</w:t>
      </w:r>
    </w:p>
    <w:p>
      <w:pPr>
        <w:pStyle w:val="177"/>
        <w:numPr>
          <w:ilvl w:val="0"/>
          <w:numId w:val="48"/>
        </w:numPr>
      </w:pPr>
      <w:r>
        <w:rPr>
          <w:rFonts w:hint="eastAsia"/>
        </w:rPr>
        <w:t>应对被录用人员的身份、背景、专业资格和资质等进行审查；</w:t>
      </w:r>
    </w:p>
    <w:p>
      <w:pPr>
        <w:pStyle w:val="177"/>
        <w:numPr>
          <w:ilvl w:val="0"/>
          <w:numId w:val="48"/>
        </w:numPr>
      </w:pPr>
      <w:r>
        <w:rPr>
          <w:rFonts w:hint="eastAsia"/>
        </w:rPr>
        <w:t>应及时终止离岗员工的所有访问权限，取回各种身份证件、钥匙、徽章等以及机构提供的软硬件设备；</w:t>
      </w:r>
    </w:p>
    <w:p>
      <w:pPr>
        <w:pStyle w:val="177"/>
        <w:numPr>
          <w:ilvl w:val="0"/>
          <w:numId w:val="48"/>
        </w:numPr>
      </w:pPr>
      <w:r>
        <w:rPr>
          <w:rFonts w:hint="eastAsia"/>
        </w:rPr>
        <w:t>应对各类人员进行安全意识教育和岗位技能培训，并告知相关的安全责任和惩戒措施；</w:t>
      </w:r>
    </w:p>
    <w:p>
      <w:pPr>
        <w:pStyle w:val="177"/>
        <w:numPr>
          <w:ilvl w:val="0"/>
          <w:numId w:val="48"/>
        </w:numPr>
      </w:pPr>
      <w:r>
        <w:rPr>
          <w:rFonts w:hint="eastAsia"/>
        </w:rPr>
        <w:t>应确保在外部人员物理访问受控区域前先提出书面申请，批准后由专人全程陪同，并登记备案；应确保在外部人员接入受控网络访问系统前先提出书面申请，批准后由专人开设账户、分配权限，并登记备案；</w:t>
      </w:r>
    </w:p>
    <w:p>
      <w:pPr>
        <w:pStyle w:val="177"/>
        <w:numPr>
          <w:ilvl w:val="0"/>
          <w:numId w:val="48"/>
        </w:numPr>
      </w:pPr>
      <w:r>
        <w:rPr>
          <w:rFonts w:hint="eastAsia"/>
        </w:rPr>
        <w:t>外部人员离场后应及时清除其所有的访问权限。</w:t>
      </w:r>
    </w:p>
    <w:p>
      <w:pPr>
        <w:pStyle w:val="97"/>
        <w:spacing w:before="156" w:after="156"/>
      </w:pPr>
      <w:bookmarkStart w:id="100" w:name="_Toc20018"/>
      <w:r>
        <w:rPr>
          <w:rFonts w:hint="eastAsia" w:hAnsi="黑体"/>
          <w:color w:val="000000"/>
          <w:szCs w:val="21"/>
        </w:rPr>
        <w:t>安全建设管理要求</w:t>
      </w:r>
      <w:bookmarkEnd w:id="100"/>
    </w:p>
    <w:p>
      <w:pPr>
        <w:pStyle w:val="101"/>
        <w:spacing w:before="156" w:after="156"/>
      </w:pPr>
      <w:r>
        <w:rPr>
          <w:rFonts w:hint="eastAsia"/>
        </w:rPr>
        <w:t>定级</w:t>
      </w:r>
    </w:p>
    <w:p>
      <w:pPr>
        <w:pStyle w:val="177"/>
        <w:numPr>
          <w:ilvl w:val="0"/>
          <w:numId w:val="49"/>
        </w:numPr>
      </w:pPr>
      <w:r>
        <w:rPr>
          <w:rFonts w:hint="eastAsia"/>
        </w:rPr>
        <w:t>应按照</w:t>
      </w:r>
      <w:r>
        <w:rPr>
          <w:rFonts w:hint="eastAsia"/>
          <w:lang w:val="en-US" w:eastAsia="zh-CN"/>
        </w:rPr>
        <w:t>《应用工业互联网的工业企业定级规则》</w:t>
      </w:r>
      <w:r>
        <w:rPr>
          <w:rFonts w:hint="eastAsia"/>
        </w:rPr>
        <w:t>明确本企业的安全等级；</w:t>
      </w:r>
    </w:p>
    <w:p>
      <w:pPr>
        <w:pStyle w:val="177"/>
        <w:numPr>
          <w:ilvl w:val="0"/>
          <w:numId w:val="49"/>
        </w:numPr>
      </w:pPr>
      <w:r>
        <w:rPr>
          <w:rFonts w:hint="eastAsia"/>
        </w:rPr>
        <w:t>应以书面形式说明企业确定为某安全等级的方法和理由。</w:t>
      </w:r>
    </w:p>
    <w:p>
      <w:pPr>
        <w:pStyle w:val="101"/>
        <w:spacing w:before="156" w:after="156"/>
      </w:pPr>
      <w:r>
        <w:rPr>
          <w:rFonts w:hAnsi="黑体"/>
          <w:color w:val="000000"/>
          <w:szCs w:val="21"/>
        </w:rPr>
        <w:t>安全方案设计</w:t>
      </w:r>
    </w:p>
    <w:p>
      <w:pPr>
        <w:pStyle w:val="177"/>
        <w:numPr>
          <w:ilvl w:val="0"/>
          <w:numId w:val="50"/>
        </w:numPr>
      </w:pPr>
      <w:r>
        <w:rPr>
          <w:rFonts w:hint="eastAsia"/>
        </w:rPr>
        <w:t>应根据安全防护对象的安全防护需求进行安全方案设计；</w:t>
      </w:r>
    </w:p>
    <w:p>
      <w:pPr>
        <w:pStyle w:val="177"/>
        <w:numPr>
          <w:ilvl w:val="0"/>
          <w:numId w:val="50"/>
        </w:numPr>
      </w:pPr>
      <w:r>
        <w:rPr>
          <w:rFonts w:hint="eastAsia"/>
        </w:rPr>
        <w:t>应组织相关部门和有关安全专家对安全方案的合理性和正确性进行论证和审定，经过批准后才能正式实施。</w:t>
      </w:r>
    </w:p>
    <w:p>
      <w:pPr>
        <w:pStyle w:val="101"/>
        <w:spacing w:before="156" w:after="156"/>
      </w:pPr>
      <w:r>
        <w:rPr>
          <w:rFonts w:hint="eastAsia"/>
        </w:rPr>
        <w:t>产品采购和使用</w:t>
      </w:r>
    </w:p>
    <w:p>
      <w:pPr>
        <w:pStyle w:val="177"/>
        <w:numPr>
          <w:ilvl w:val="0"/>
          <w:numId w:val="51"/>
        </w:numPr>
      </w:pPr>
      <w:r>
        <w:rPr>
          <w:rFonts w:hint="eastAsia"/>
        </w:rPr>
        <w:t>工业控制系统、工业互联网平台或标识解析系统的重要设备及专用安全产品应通过国家及行业监管部门认可的专业机构的安全性及电磁兼容性检测后方可采购使用；</w:t>
      </w:r>
    </w:p>
    <w:p>
      <w:pPr>
        <w:pStyle w:val="177"/>
        <w:numPr>
          <w:ilvl w:val="0"/>
          <w:numId w:val="51"/>
        </w:numPr>
      </w:pPr>
      <w:r>
        <w:rPr>
          <w:rFonts w:hint="eastAsia"/>
        </w:rPr>
        <w:t>应确保安全产品与服务的采购和使用符合国家的有关规定。</w:t>
      </w:r>
    </w:p>
    <w:p>
      <w:pPr>
        <w:pStyle w:val="101"/>
        <w:spacing w:before="156" w:after="156"/>
      </w:pPr>
      <w:r>
        <w:rPr>
          <w:rFonts w:hint="eastAsia"/>
        </w:rPr>
        <w:t>软件开发</w:t>
      </w:r>
    </w:p>
    <w:p>
      <w:pPr>
        <w:pStyle w:val="177"/>
        <w:numPr>
          <w:ilvl w:val="0"/>
          <w:numId w:val="52"/>
        </w:numPr>
      </w:pPr>
      <w:r>
        <w:rPr>
          <w:rFonts w:hint="eastAsia"/>
        </w:rPr>
        <w:t>应确保开发环境与实际运行环境物理隔离，测试数据和测试结果受到控制；</w:t>
      </w:r>
    </w:p>
    <w:p>
      <w:pPr>
        <w:pStyle w:val="177"/>
        <w:numPr>
          <w:ilvl w:val="0"/>
          <w:numId w:val="52"/>
        </w:numPr>
      </w:pPr>
      <w:r>
        <w:rPr>
          <w:rFonts w:hint="eastAsia"/>
        </w:rPr>
        <w:t>应在软件开发过程中进行安全性测试；</w:t>
      </w:r>
    </w:p>
    <w:p>
      <w:pPr>
        <w:pStyle w:val="177"/>
        <w:numPr>
          <w:ilvl w:val="0"/>
          <w:numId w:val="52"/>
        </w:numPr>
      </w:pPr>
      <w:r>
        <w:rPr>
          <w:rFonts w:hint="eastAsia"/>
        </w:rPr>
        <w:t>应在软件交付前检测其中可能存在的缺陷与恶意代码等；</w:t>
      </w:r>
    </w:p>
    <w:p>
      <w:pPr>
        <w:pStyle w:val="177"/>
        <w:numPr>
          <w:ilvl w:val="0"/>
          <w:numId w:val="52"/>
        </w:numPr>
      </w:pPr>
      <w:r>
        <w:rPr>
          <w:rFonts w:hint="eastAsia"/>
        </w:rPr>
        <w:t>应要求开发单位提供软件设计文档和使用指南；</w:t>
      </w:r>
    </w:p>
    <w:p>
      <w:pPr>
        <w:pStyle w:val="177"/>
        <w:numPr>
          <w:ilvl w:val="0"/>
          <w:numId w:val="52"/>
        </w:numPr>
      </w:pPr>
      <w:r>
        <w:rPr>
          <w:rFonts w:hint="eastAsia"/>
        </w:rPr>
        <w:t>应在外包开发合同中包含开发单位、供应商对所提供设备及系统在生命周期内有关保密、严禁关键技术扩散和设备行业专用等方面的约束条款。</w:t>
      </w:r>
    </w:p>
    <w:p>
      <w:pPr>
        <w:pStyle w:val="101"/>
        <w:spacing w:before="156" w:after="156"/>
      </w:pPr>
      <w:r>
        <w:rPr>
          <w:rFonts w:hint="eastAsia"/>
        </w:rPr>
        <w:t>系统交付</w:t>
      </w:r>
    </w:p>
    <w:p>
      <w:pPr>
        <w:pStyle w:val="177"/>
        <w:numPr>
          <w:ilvl w:val="0"/>
          <w:numId w:val="53"/>
        </w:numPr>
      </w:pPr>
      <w:r>
        <w:rPr>
          <w:rFonts w:hint="eastAsia"/>
        </w:rPr>
        <w:t>应制订安全性测试验收方案，并依据测试验收方案实施验收，形成验收报告；</w:t>
      </w:r>
    </w:p>
    <w:p>
      <w:pPr>
        <w:pStyle w:val="177"/>
        <w:numPr>
          <w:ilvl w:val="0"/>
          <w:numId w:val="53"/>
        </w:numPr>
      </w:pPr>
      <w:r>
        <w:rPr>
          <w:rFonts w:hint="eastAsia"/>
        </w:rPr>
        <w:t>应根据交付清单对所交接的设备、软件和文档等进行清点；</w:t>
      </w:r>
    </w:p>
    <w:p>
      <w:pPr>
        <w:pStyle w:val="177"/>
        <w:numPr>
          <w:ilvl w:val="0"/>
          <w:numId w:val="53"/>
        </w:numPr>
      </w:pPr>
      <w:r>
        <w:rPr>
          <w:rFonts w:hint="eastAsia"/>
        </w:rPr>
        <w:t>应对负责运行维护的技术人员进行相应的技能培训；</w:t>
      </w:r>
    </w:p>
    <w:p>
      <w:pPr>
        <w:pStyle w:val="177"/>
        <w:numPr>
          <w:ilvl w:val="0"/>
          <w:numId w:val="53"/>
        </w:numPr>
      </w:pPr>
      <w:r>
        <w:rPr>
          <w:rFonts w:hint="eastAsia"/>
        </w:rPr>
        <w:t>应提供建设过程中的文档和指导用户进行运行维护的文档。</w:t>
      </w:r>
    </w:p>
    <w:p>
      <w:pPr>
        <w:pStyle w:val="101"/>
        <w:spacing w:before="156" w:after="156"/>
      </w:pPr>
      <w:r>
        <w:rPr>
          <w:rFonts w:hint="eastAsia"/>
        </w:rPr>
        <w:t>供应链安全</w:t>
      </w:r>
    </w:p>
    <w:p>
      <w:pPr>
        <w:pStyle w:val="177"/>
        <w:numPr>
          <w:ilvl w:val="0"/>
          <w:numId w:val="54"/>
        </w:numPr>
      </w:pPr>
      <w:r>
        <w:rPr>
          <w:rFonts w:hint="eastAsia"/>
        </w:rPr>
        <w:t>应制定供应链安全策略（包括采购策略等），并对安全策略的有效性进行持续监控；</w:t>
      </w:r>
    </w:p>
    <w:p>
      <w:pPr>
        <w:pStyle w:val="177"/>
        <w:numPr>
          <w:ilvl w:val="0"/>
          <w:numId w:val="54"/>
        </w:numPr>
      </w:pPr>
      <w:r>
        <w:rPr>
          <w:rFonts w:hint="eastAsia"/>
        </w:rPr>
        <w:t>应在选择供应商前进行风险评估或现场检查；</w:t>
      </w:r>
    </w:p>
    <w:p>
      <w:pPr>
        <w:pStyle w:val="177"/>
        <w:numPr>
          <w:ilvl w:val="0"/>
          <w:numId w:val="54"/>
        </w:numPr>
      </w:pPr>
      <w:r>
        <w:rPr>
          <w:rFonts w:hint="eastAsia"/>
        </w:rPr>
        <w:t>应在选择供应商前确保其具备相应的安全防护措施，包括但不限于其所提供的设备、平台系统等应为其所承载的业务提供相应的安全防护能力、其人员具有可信的背景审查结果；</w:t>
      </w:r>
    </w:p>
    <w:p>
      <w:pPr>
        <w:pStyle w:val="177"/>
        <w:numPr>
          <w:ilvl w:val="0"/>
          <w:numId w:val="54"/>
        </w:numPr>
      </w:pPr>
      <w:r>
        <w:rPr>
          <w:rFonts w:hint="eastAsia"/>
        </w:rPr>
        <w:t>应与选定的服务供应商签订相关协议，明确供应链各方需履行的安全分工与责任；并规定具体服务内容和技术指标；</w:t>
      </w:r>
    </w:p>
    <w:p>
      <w:pPr>
        <w:pStyle w:val="177"/>
        <w:numPr>
          <w:ilvl w:val="0"/>
          <w:numId w:val="54"/>
        </w:numPr>
      </w:pPr>
      <w:r>
        <w:rPr>
          <w:rFonts w:hint="eastAsia"/>
        </w:rPr>
        <w:t>应在服务协议中规定供应商的权限与责任，包括管理范围、职责划分、访问授权、隐私保护、行为准则、违约责任等；</w:t>
      </w:r>
    </w:p>
    <w:p>
      <w:pPr>
        <w:pStyle w:val="177"/>
        <w:numPr>
          <w:ilvl w:val="0"/>
          <w:numId w:val="54"/>
        </w:numPr>
      </w:pPr>
      <w:r>
        <w:rPr>
          <w:rFonts w:hint="eastAsia"/>
        </w:rPr>
        <w:t>应在服务协议中规定服务合约到期时，完整地返还客户信息，并承诺相关信息均已清除；</w:t>
      </w:r>
    </w:p>
    <w:p>
      <w:pPr>
        <w:pStyle w:val="177"/>
        <w:numPr>
          <w:ilvl w:val="0"/>
          <w:numId w:val="54"/>
        </w:numPr>
      </w:pPr>
      <w:r>
        <w:rPr>
          <w:rFonts w:hint="eastAsia"/>
        </w:rPr>
        <w:t>应对外包开发的系统、软件等，在其上线应用前进行安全检测，留存检测报告</w:t>
      </w:r>
      <w:r>
        <w:rPr>
          <w:rFonts w:hint="eastAsia"/>
          <w:lang w:eastAsia="zh-CN"/>
        </w:rPr>
        <w:t>；</w:t>
      </w:r>
    </w:p>
    <w:p>
      <w:pPr>
        <w:pStyle w:val="177"/>
        <w:numPr>
          <w:ilvl w:val="0"/>
          <w:numId w:val="54"/>
        </w:numPr>
      </w:pPr>
      <w:r>
        <w:rPr>
          <w:rFonts w:hint="eastAsia"/>
        </w:rPr>
        <w:t>应要求供应商接受相关监督，确保供应商对其安全措施合规性进行持续监控并提供安全保障措施证明材料；</w:t>
      </w:r>
    </w:p>
    <w:p>
      <w:pPr>
        <w:pStyle w:val="177"/>
        <w:numPr>
          <w:ilvl w:val="0"/>
          <w:numId w:val="54"/>
        </w:numPr>
      </w:pPr>
      <w:r>
        <w:rPr>
          <w:rFonts w:hint="eastAsia"/>
        </w:rPr>
        <w:t>应确保供应链安全事件信息或威胁信息能够及时传达到客户。</w:t>
      </w:r>
    </w:p>
    <w:p>
      <w:pPr>
        <w:pStyle w:val="97"/>
        <w:spacing w:before="156" w:after="156"/>
      </w:pPr>
      <w:bookmarkStart w:id="101" w:name="_Toc29824"/>
      <w:r>
        <w:rPr>
          <w:rFonts w:hint="eastAsia"/>
        </w:rPr>
        <w:t>安全运维管理要求</w:t>
      </w:r>
      <w:bookmarkEnd w:id="101"/>
    </w:p>
    <w:p>
      <w:pPr>
        <w:pStyle w:val="101"/>
        <w:spacing w:before="156" w:after="156"/>
      </w:pPr>
      <w:r>
        <w:rPr>
          <w:rFonts w:hint="eastAsia"/>
        </w:rPr>
        <w:t>环境管理</w:t>
      </w:r>
    </w:p>
    <w:p>
      <w:pPr>
        <w:pStyle w:val="177"/>
        <w:numPr>
          <w:ilvl w:val="0"/>
          <w:numId w:val="55"/>
        </w:numPr>
      </w:pPr>
      <w:r>
        <w:rPr>
          <w:rFonts w:hint="eastAsia"/>
        </w:rPr>
        <w:t>应对机房的安全管理</w:t>
      </w:r>
      <w:r>
        <w:rPr>
          <w:rFonts w:hint="eastAsia"/>
          <w:lang w:eastAsia="zh-CN"/>
        </w:rPr>
        <w:t>作出</w:t>
      </w:r>
      <w:r>
        <w:rPr>
          <w:rFonts w:hint="eastAsia"/>
        </w:rPr>
        <w:t>规定</w:t>
      </w:r>
      <w:r>
        <w:rPr>
          <w:rFonts w:hint="eastAsia"/>
          <w:lang w:eastAsia="zh-CN"/>
        </w:rPr>
        <w:t>，</w:t>
      </w:r>
      <w:r>
        <w:rPr>
          <w:rFonts w:hint="eastAsia"/>
        </w:rPr>
        <w:t>指定特定的部门或人员负责机房物理环境安全，对机房出入进行管理，定期对机房供配电、空调、温湿度控制、消防等设施进行维护管理；</w:t>
      </w:r>
    </w:p>
    <w:p>
      <w:pPr>
        <w:pStyle w:val="177"/>
        <w:numPr>
          <w:ilvl w:val="0"/>
          <w:numId w:val="55"/>
        </w:numPr>
      </w:pPr>
      <w:r>
        <w:rPr>
          <w:rFonts w:hint="eastAsia"/>
        </w:rPr>
        <w:t>应严禁在重要区域接待来访人员。</w:t>
      </w:r>
    </w:p>
    <w:p>
      <w:pPr>
        <w:pStyle w:val="101"/>
        <w:spacing w:before="156" w:after="156"/>
      </w:pPr>
      <w:r>
        <w:rPr>
          <w:rFonts w:hint="eastAsia"/>
        </w:rPr>
        <w:t>资产管理</w:t>
      </w:r>
    </w:p>
    <w:p>
      <w:pPr>
        <w:pStyle w:val="177"/>
        <w:numPr>
          <w:ilvl w:val="0"/>
          <w:numId w:val="56"/>
        </w:numPr>
      </w:pPr>
      <w:r>
        <w:rPr>
          <w:rFonts w:hint="eastAsia"/>
        </w:rPr>
        <w:t>应建立并严格执行存储介质安全相关管理制度；</w:t>
      </w:r>
    </w:p>
    <w:p>
      <w:pPr>
        <w:pStyle w:val="177"/>
        <w:numPr>
          <w:ilvl w:val="0"/>
          <w:numId w:val="56"/>
        </w:numPr>
      </w:pPr>
      <w:r>
        <w:rPr>
          <w:rFonts w:hint="eastAsia"/>
        </w:rPr>
        <w:t>应编制并保存与保护对象相关的资产清单，包括资产责任部门、重要程度和所处位置等内容；</w:t>
      </w:r>
    </w:p>
    <w:p>
      <w:pPr>
        <w:pStyle w:val="177"/>
        <w:numPr>
          <w:ilvl w:val="0"/>
          <w:numId w:val="56"/>
        </w:numPr>
      </w:pPr>
      <w:r>
        <w:rPr>
          <w:rFonts w:hint="eastAsia"/>
        </w:rPr>
        <w:t>应建立存储介质相关资产台账（清单），对存储介质进行分类、分级标识；</w:t>
      </w:r>
    </w:p>
    <w:p>
      <w:pPr>
        <w:pStyle w:val="177"/>
        <w:numPr>
          <w:ilvl w:val="0"/>
          <w:numId w:val="56"/>
        </w:numPr>
      </w:pPr>
      <w:r>
        <w:rPr>
          <w:rFonts w:hint="eastAsia"/>
        </w:rPr>
        <w:t>应确保介质存放在安全的环境中，对各类介质进行控制和保护，实行存储环境专人管理，并根据存档介质的目录清单定期盘点；</w:t>
      </w:r>
    </w:p>
    <w:p>
      <w:pPr>
        <w:pStyle w:val="177"/>
        <w:numPr>
          <w:ilvl w:val="0"/>
          <w:numId w:val="56"/>
        </w:numPr>
      </w:pPr>
      <w:r>
        <w:rPr>
          <w:rFonts w:hint="eastAsia"/>
        </w:rPr>
        <w:t>应对介质在物理传输过程中的人员选择、打包、交付等情况进行控制，并对介质的归档和查询等进行登记记录；</w:t>
      </w:r>
    </w:p>
    <w:p>
      <w:pPr>
        <w:pStyle w:val="177"/>
        <w:numPr>
          <w:ilvl w:val="0"/>
          <w:numId w:val="56"/>
        </w:numPr>
      </w:pPr>
      <w:r>
        <w:rPr>
          <w:rFonts w:hint="eastAsia"/>
        </w:rPr>
        <w:t>应对存储介质进行集中统一管理，详细记录介质领用、交回、维修、报废、销毁等环节；</w:t>
      </w:r>
    </w:p>
    <w:p>
      <w:pPr>
        <w:pStyle w:val="177"/>
        <w:numPr>
          <w:ilvl w:val="0"/>
          <w:numId w:val="56"/>
        </w:numPr>
      </w:pPr>
      <w:r>
        <w:rPr>
          <w:rFonts w:hint="eastAsia"/>
        </w:rPr>
        <w:t>应对各种设备（包括备份和冗余设备）、线路等定期进行维护管理；</w:t>
      </w:r>
    </w:p>
    <w:p>
      <w:pPr>
        <w:pStyle w:val="177"/>
        <w:numPr>
          <w:ilvl w:val="0"/>
          <w:numId w:val="56"/>
        </w:numPr>
      </w:pPr>
      <w:r>
        <w:rPr>
          <w:rFonts w:hint="eastAsia"/>
        </w:rPr>
        <w:t>应记录工业互联网设备的状态（包括外观、电量、指示灯等信息），对工业互联网设备进行现场维护（除尘、充电、修理等）；</w:t>
      </w:r>
    </w:p>
    <w:p>
      <w:pPr>
        <w:pStyle w:val="177"/>
        <w:numPr>
          <w:ilvl w:val="0"/>
          <w:numId w:val="56"/>
        </w:numPr>
      </w:pPr>
      <w:r>
        <w:rPr>
          <w:rFonts w:hint="eastAsia"/>
        </w:rPr>
        <w:t>应对工业互联网设备部署环境的评估方法明确规定；</w:t>
      </w:r>
    </w:p>
    <w:p>
      <w:pPr>
        <w:pStyle w:val="177"/>
        <w:numPr>
          <w:ilvl w:val="0"/>
          <w:numId w:val="56"/>
        </w:numPr>
      </w:pPr>
      <w:r>
        <w:rPr>
          <w:rFonts w:hint="eastAsia"/>
        </w:rPr>
        <w:t>应对工业互联网设备入库、存储、部署、携带、维修、丢失和报废等过程明确规定，并进行全程管理；</w:t>
      </w:r>
    </w:p>
    <w:p>
      <w:pPr>
        <w:pStyle w:val="177"/>
        <w:numPr>
          <w:ilvl w:val="0"/>
          <w:numId w:val="56"/>
        </w:numPr>
      </w:pPr>
      <w:r>
        <w:rPr>
          <w:rFonts w:hint="eastAsia"/>
        </w:rPr>
        <w:t>应采用国家密码管理主管部门批准使用的密码算法和认证核准的密码产品；</w:t>
      </w:r>
    </w:p>
    <w:p>
      <w:pPr>
        <w:pStyle w:val="177"/>
        <w:numPr>
          <w:ilvl w:val="0"/>
          <w:numId w:val="56"/>
        </w:numPr>
      </w:pPr>
      <w:r>
        <w:rPr>
          <w:rFonts w:hint="eastAsia"/>
        </w:rPr>
        <w:t>应明确资产变更需求，变更前根据变更需求制定变更方案，变更方案经过评审、审批后方可实施；</w:t>
      </w:r>
    </w:p>
    <w:p>
      <w:pPr>
        <w:pStyle w:val="177"/>
        <w:numPr>
          <w:ilvl w:val="0"/>
          <w:numId w:val="56"/>
        </w:numPr>
      </w:pPr>
      <w:r>
        <w:rPr>
          <w:rFonts w:hint="eastAsia"/>
        </w:rPr>
        <w:t>应优先选择资质完备、经验丰富、安全可靠的运维服务商，应在供货合同中或以其他方式明确供应商应承担的网络安全责任和义务；</w:t>
      </w:r>
    </w:p>
    <w:p>
      <w:pPr>
        <w:pStyle w:val="177"/>
        <w:numPr>
          <w:ilvl w:val="0"/>
          <w:numId w:val="56"/>
        </w:numPr>
      </w:pPr>
      <w:r>
        <w:rPr>
          <w:rFonts w:hint="eastAsia"/>
        </w:rPr>
        <w:t>应密切关注产品漏洞和补丁发布，及时进行软件升级、补丁安装管理，严防病毒、木马等恶意代码侵入，在工业控制系统软件升级、补丁安装前要请专业技术机构进行安全</w:t>
      </w:r>
      <w:r>
        <w:rPr>
          <w:rFonts w:hint="eastAsia"/>
          <w:lang w:val="en-US" w:eastAsia="zh-CN"/>
        </w:rPr>
        <w:t>检查</w:t>
      </w:r>
      <w:r>
        <w:rPr>
          <w:rFonts w:hint="eastAsia"/>
        </w:rPr>
        <w:t>评估和验证。</w:t>
      </w:r>
    </w:p>
    <w:p>
      <w:pPr>
        <w:pStyle w:val="101"/>
        <w:spacing w:before="156" w:after="156"/>
      </w:pPr>
      <w:r>
        <w:rPr>
          <w:rFonts w:hint="eastAsia"/>
        </w:rPr>
        <w:t>安全审计</w:t>
      </w:r>
    </w:p>
    <w:p>
      <w:pPr>
        <w:pStyle w:val="177"/>
        <w:numPr>
          <w:ilvl w:val="0"/>
          <w:numId w:val="57"/>
        </w:numPr>
      </w:pPr>
      <w:r>
        <w:rPr>
          <w:rFonts w:hint="eastAsia"/>
        </w:rPr>
        <w:t>应对重要设备、平台、系统等启用安全审计功能，对重要的用户行为和重要安全事件进行审计。审计记录应包括事件的时间日期、用户、事件类型、事件简介及其他与审计相关的信息；</w:t>
      </w:r>
    </w:p>
    <w:p>
      <w:pPr>
        <w:pStyle w:val="177"/>
        <w:numPr>
          <w:ilvl w:val="0"/>
          <w:numId w:val="57"/>
        </w:numPr>
      </w:pPr>
      <w:r>
        <w:rPr>
          <w:rFonts w:hint="eastAsia"/>
        </w:rPr>
        <w:t>应对审计记录进行保护，定期备份，避免受到未预期的删除、修改或覆盖等；审计记录中应避免明文记录敏感数据，如用户口令等；</w:t>
      </w:r>
    </w:p>
    <w:p>
      <w:pPr>
        <w:pStyle w:val="177"/>
        <w:numPr>
          <w:ilvl w:val="0"/>
          <w:numId w:val="57"/>
        </w:numPr>
      </w:pPr>
      <w:r>
        <w:rPr>
          <w:rFonts w:hint="eastAsia"/>
        </w:rPr>
        <w:t>应确保审计记录的留存时间符合法律法规要求。</w:t>
      </w:r>
    </w:p>
    <w:p>
      <w:pPr>
        <w:pStyle w:val="101"/>
        <w:spacing w:before="156" w:after="156"/>
      </w:pPr>
      <w:r>
        <w:rPr>
          <w:rFonts w:hint="eastAsia"/>
        </w:rPr>
        <w:t>配置管理</w:t>
      </w:r>
    </w:p>
    <w:p>
      <w:pPr>
        <w:pStyle w:val="177"/>
        <w:keepNext w:val="0"/>
        <w:keepLines w:val="0"/>
        <w:pageBreakBefore w:val="0"/>
        <w:widowControl/>
        <w:numPr>
          <w:ilvl w:val="0"/>
          <w:numId w:val="0"/>
        </w:numPr>
        <w:kinsoku/>
        <w:wordWrap/>
        <w:overflowPunct/>
        <w:topLinePunct w:val="0"/>
        <w:autoSpaceDE/>
        <w:autoSpaceDN/>
        <w:bidi w:val="0"/>
        <w:adjustRightInd/>
        <w:snapToGrid/>
        <w:ind w:left="0" w:leftChars="0" w:firstLine="420" w:firstLineChars="200"/>
        <w:textAlignment w:val="auto"/>
      </w:pPr>
      <w:r>
        <w:rPr>
          <w:rFonts w:hint="eastAsia"/>
        </w:rPr>
        <w:t>应记录和保存基本配置信息，包括网络拓扑结构、各个设备安装的软件组件、软件组件的版本和补丁信息、各个设备或软件组件的配置参数等。</w:t>
      </w:r>
    </w:p>
    <w:p>
      <w:pPr>
        <w:pStyle w:val="101"/>
        <w:spacing w:before="156" w:after="156"/>
      </w:pPr>
      <w:r>
        <w:rPr>
          <w:rFonts w:hint="eastAsia"/>
        </w:rPr>
        <w:t>安全事件处置</w:t>
      </w:r>
    </w:p>
    <w:p>
      <w:pPr>
        <w:pStyle w:val="177"/>
        <w:numPr>
          <w:ilvl w:val="0"/>
          <w:numId w:val="58"/>
        </w:numPr>
      </w:pPr>
      <w:r>
        <w:rPr>
          <w:rFonts w:hint="eastAsia"/>
        </w:rPr>
        <w:t>应定期进行常规安全检查，检查内容包括系统日常运行、系统漏洞和数据备份等</w:t>
      </w:r>
      <w:r>
        <w:rPr>
          <w:rFonts w:hint="eastAsia"/>
          <w:lang w:eastAsia="zh-CN"/>
        </w:rPr>
        <w:t>；</w:t>
      </w:r>
    </w:p>
    <w:p>
      <w:pPr>
        <w:pStyle w:val="177"/>
        <w:numPr>
          <w:ilvl w:val="0"/>
          <w:numId w:val="58"/>
        </w:numPr>
      </w:pPr>
      <w:r>
        <w:rPr>
          <w:rFonts w:hint="eastAsia"/>
        </w:rPr>
        <w:t>应及时向工业互联网安全主管部门报告所发现的安全弱点和可疑事件；</w:t>
      </w:r>
    </w:p>
    <w:p>
      <w:pPr>
        <w:pStyle w:val="177"/>
        <w:numPr>
          <w:ilvl w:val="0"/>
          <w:numId w:val="58"/>
        </w:numPr>
      </w:pPr>
      <w:r>
        <w:rPr>
          <w:rFonts w:hint="eastAsia"/>
        </w:rPr>
        <w:t>应明确安全事件的报告和处置流程，制定安全事件报告和处置管理制度；</w:t>
      </w:r>
    </w:p>
    <w:p>
      <w:pPr>
        <w:pStyle w:val="177"/>
        <w:numPr>
          <w:ilvl w:val="0"/>
          <w:numId w:val="58"/>
        </w:numPr>
      </w:pPr>
      <w:r>
        <w:rPr>
          <w:rFonts w:hint="eastAsia"/>
        </w:rPr>
        <w:t>应在安全事件报告和响应处理过程中，分析和鉴定事件产生的原因，收集证据，记录处理过程，总结经验教训。</w:t>
      </w:r>
    </w:p>
    <w:p>
      <w:pPr>
        <w:pStyle w:val="101"/>
        <w:spacing w:before="156" w:after="156"/>
      </w:pPr>
      <w:r>
        <w:rPr>
          <w:rFonts w:hint="eastAsia"/>
        </w:rPr>
        <w:t>应急工作要求</w:t>
      </w:r>
    </w:p>
    <w:p>
      <w:pPr>
        <w:pStyle w:val="177"/>
        <w:numPr>
          <w:ilvl w:val="0"/>
          <w:numId w:val="59"/>
        </w:numPr>
      </w:pPr>
      <w:r>
        <w:rPr>
          <w:rFonts w:hint="eastAsia"/>
        </w:rPr>
        <w:t>应制定网络安全事件应急预案，包括应急处理流程、系统恢复流程等内容，并根据实际情况适时进行评估和修订，每年进行一次评估和修订；</w:t>
      </w:r>
    </w:p>
    <w:p>
      <w:pPr>
        <w:pStyle w:val="177"/>
        <w:numPr>
          <w:ilvl w:val="0"/>
          <w:numId w:val="59"/>
        </w:numPr>
      </w:pPr>
      <w:r>
        <w:rPr>
          <w:rFonts w:hint="eastAsia"/>
        </w:rPr>
        <w:t>应定期开展网络安全事件应急预案宣贯培训，确保相关人员熟悉应急预案，并进行应急预案的演练。</w:t>
      </w:r>
    </w:p>
    <w:p>
      <w:pPr>
        <w:pStyle w:val="68"/>
        <w:spacing w:before="156" w:after="156"/>
      </w:pPr>
      <w:bookmarkStart w:id="102" w:name="_Toc10337"/>
      <w:r>
        <w:rPr>
          <w:rFonts w:hint="eastAsia"/>
        </w:rPr>
        <w:t>物理和环境安全要求</w:t>
      </w:r>
      <w:bookmarkEnd w:id="102"/>
    </w:p>
    <w:p>
      <w:pPr>
        <w:pStyle w:val="97"/>
        <w:spacing w:before="156" w:after="156"/>
      </w:pPr>
      <w:bookmarkStart w:id="103" w:name="_Toc29199"/>
      <w:r>
        <w:rPr>
          <w:rFonts w:hint="eastAsia"/>
        </w:rPr>
        <w:t>物理位置选择</w:t>
      </w:r>
      <w:bookmarkEnd w:id="103"/>
    </w:p>
    <w:p>
      <w:pPr>
        <w:pStyle w:val="177"/>
        <w:numPr>
          <w:ilvl w:val="0"/>
          <w:numId w:val="60"/>
        </w:numPr>
      </w:pPr>
      <w:r>
        <w:rPr>
          <w:rFonts w:hint="eastAsia"/>
        </w:rPr>
        <w:t>机房和常规工业设备放置场地应选择在具有防震、防风和防雨等能力的建筑内；</w:t>
      </w:r>
    </w:p>
    <w:p>
      <w:pPr>
        <w:pStyle w:val="177"/>
        <w:numPr>
          <w:ilvl w:val="0"/>
          <w:numId w:val="60"/>
        </w:numPr>
      </w:pPr>
      <w:r>
        <w:rPr>
          <w:rFonts w:hint="eastAsia"/>
        </w:rPr>
        <w:t>机房场地应避免设在建筑物的顶层或地下室，否则应加强防水和防潮措施；</w:t>
      </w:r>
    </w:p>
    <w:p>
      <w:pPr>
        <w:pStyle w:val="177"/>
        <w:numPr>
          <w:ilvl w:val="0"/>
          <w:numId w:val="60"/>
        </w:numPr>
      </w:pPr>
      <w:r>
        <w:rPr>
          <w:rFonts w:hint="eastAsia"/>
        </w:rPr>
        <w:t>机房外墙壁不应有对外的窗户。否则，应采用双层固定窗，并作密封、防水处理；</w:t>
      </w:r>
    </w:p>
    <w:p>
      <w:pPr>
        <w:pStyle w:val="177"/>
        <w:numPr>
          <w:ilvl w:val="0"/>
          <w:numId w:val="60"/>
        </w:numPr>
      </w:pPr>
      <w:r>
        <w:rPr>
          <w:rFonts w:hint="eastAsia"/>
        </w:rPr>
        <w:t>室外工业互联网重要设备及控制设备应放置于采用铁板或其他防火绝缘材料制作，具有透风、散热、防盗、防雨、防火能力的箱体或装置中并紧固。</w:t>
      </w:r>
    </w:p>
    <w:p>
      <w:pPr>
        <w:pStyle w:val="97"/>
        <w:spacing w:before="156" w:after="156"/>
      </w:pPr>
      <w:bookmarkStart w:id="104" w:name="_Toc6149"/>
      <w:r>
        <w:rPr>
          <w:rFonts w:hint="eastAsia"/>
        </w:rPr>
        <w:t>物理访问控制</w:t>
      </w:r>
      <w:bookmarkEnd w:id="104"/>
    </w:p>
    <w:p>
      <w:pPr>
        <w:pStyle w:val="177"/>
        <w:numPr>
          <w:ilvl w:val="0"/>
          <w:numId w:val="61"/>
        </w:numPr>
      </w:pPr>
      <w:r>
        <w:rPr>
          <w:rFonts w:hint="eastAsia"/>
        </w:rPr>
        <w:t>应在机房和工业设备放置场地出入口安排专人值守或部署电子门禁系统，控制、鉴别和记录进入的人员；</w:t>
      </w:r>
    </w:p>
    <w:p>
      <w:pPr>
        <w:pStyle w:val="177"/>
        <w:numPr>
          <w:ilvl w:val="0"/>
          <w:numId w:val="61"/>
        </w:numPr>
      </w:pPr>
      <w:r>
        <w:rPr>
          <w:rFonts w:hint="eastAsia"/>
        </w:rPr>
        <w:t>应在重要服务器、数据库、工程师站等核心工业互联网软硬件所在区域或工业互联网平台采取视频监控等手段。</w:t>
      </w:r>
    </w:p>
    <w:p>
      <w:pPr>
        <w:pStyle w:val="177"/>
        <w:numPr>
          <w:ilvl w:val="0"/>
          <w:numId w:val="61"/>
        </w:numPr>
      </w:pPr>
      <w:r>
        <w:rPr>
          <w:rFonts w:hint="eastAsia"/>
        </w:rPr>
        <w:t>人员进出记录应至少保存3个月；机房出入口应有视频监控，监控记录应至少保存3个月。</w:t>
      </w:r>
    </w:p>
    <w:p>
      <w:pPr>
        <w:pStyle w:val="97"/>
        <w:spacing w:before="156" w:after="156"/>
      </w:pPr>
      <w:bookmarkStart w:id="105" w:name="_Toc17489"/>
      <w:r>
        <w:rPr>
          <w:rFonts w:hint="eastAsia"/>
        </w:rPr>
        <w:t>防盗窃和防破坏</w:t>
      </w:r>
      <w:bookmarkEnd w:id="105"/>
    </w:p>
    <w:p>
      <w:pPr>
        <w:pStyle w:val="177"/>
        <w:numPr>
          <w:ilvl w:val="0"/>
          <w:numId w:val="62"/>
        </w:numPr>
      </w:pPr>
      <w:r>
        <w:rPr>
          <w:rFonts w:hint="eastAsia"/>
        </w:rPr>
        <w:t>应将设备或主要部件进行固定，并设置明显的不易除去的标记，如粘贴标签或铭牌、电子标签；</w:t>
      </w:r>
    </w:p>
    <w:p>
      <w:pPr>
        <w:pStyle w:val="177"/>
        <w:numPr>
          <w:ilvl w:val="0"/>
          <w:numId w:val="62"/>
        </w:numPr>
      </w:pPr>
      <w:r>
        <w:rPr>
          <w:rFonts w:hint="eastAsia"/>
        </w:rPr>
        <w:t>应将通信线缆铺设在隐蔽安全处，可铺设在管道或线槽、线架中；</w:t>
      </w:r>
    </w:p>
    <w:p>
      <w:pPr>
        <w:pStyle w:val="177"/>
        <w:numPr>
          <w:ilvl w:val="0"/>
          <w:numId w:val="62"/>
        </w:numPr>
      </w:pPr>
      <w:r>
        <w:rPr>
          <w:rFonts w:hint="eastAsia"/>
        </w:rPr>
        <w:t>主机房或重要设备区域应安装必要的防盗报警设施或设置有专人值守的视频监控系统，监控录像记录应至少保存3个月。</w:t>
      </w:r>
    </w:p>
    <w:p>
      <w:pPr>
        <w:pStyle w:val="97"/>
        <w:spacing w:before="156" w:after="156"/>
      </w:pPr>
      <w:bookmarkStart w:id="106" w:name="_Toc12110"/>
      <w:r>
        <w:rPr>
          <w:rFonts w:hint="eastAsia"/>
        </w:rPr>
        <w:t>防雷击</w:t>
      </w:r>
      <w:bookmarkEnd w:id="106"/>
    </w:p>
    <w:p>
      <w:pPr>
        <w:pStyle w:val="177"/>
        <w:numPr>
          <w:ilvl w:val="0"/>
          <w:numId w:val="63"/>
        </w:numPr>
      </w:pPr>
      <w:r>
        <w:rPr>
          <w:rFonts w:hint="eastAsia"/>
        </w:rPr>
        <w:t>应将各类机柜、设施和设备等通过接地系统安全接地</w:t>
      </w:r>
      <w:r>
        <w:rPr>
          <w:rFonts w:hint="eastAsia"/>
          <w:lang w:eastAsia="zh-CN"/>
        </w:rPr>
        <w:t>；</w:t>
      </w:r>
    </w:p>
    <w:p>
      <w:pPr>
        <w:pStyle w:val="177"/>
        <w:numPr>
          <w:ilvl w:val="0"/>
          <w:numId w:val="63"/>
        </w:numPr>
      </w:pPr>
      <w:r>
        <w:rPr>
          <w:rFonts w:hint="eastAsia"/>
        </w:rPr>
        <w:t>应对室外控制设备电源、信号线路加装浪涌保护器等避雷装置。</w:t>
      </w:r>
    </w:p>
    <w:p>
      <w:pPr>
        <w:pStyle w:val="97"/>
        <w:spacing w:before="156" w:after="156"/>
      </w:pPr>
      <w:bookmarkStart w:id="107" w:name="_Toc32614"/>
      <w:r>
        <w:rPr>
          <w:rFonts w:hint="eastAsia"/>
        </w:rPr>
        <w:t>防火</w:t>
      </w:r>
      <w:bookmarkEnd w:id="107"/>
    </w:p>
    <w:p>
      <w:pPr>
        <w:pStyle w:val="59"/>
        <w:ind w:firstLine="420"/>
        <w:rPr>
          <w:rFonts w:hAnsi="宋体"/>
          <w:color w:val="000000"/>
          <w:szCs w:val="21"/>
        </w:rPr>
      </w:pPr>
      <w:r>
        <w:rPr>
          <w:rFonts w:hint="eastAsia" w:hAnsi="宋体"/>
          <w:color w:val="000000"/>
          <w:szCs w:val="21"/>
        </w:rPr>
        <w:t>机房及工业设备放置场地应设置灭火设备和火灾自动报警系统。</w:t>
      </w:r>
    </w:p>
    <w:p>
      <w:pPr>
        <w:pStyle w:val="97"/>
        <w:spacing w:before="156" w:after="156"/>
      </w:pPr>
      <w:bookmarkStart w:id="108" w:name="_Toc31203"/>
      <w:r>
        <w:rPr>
          <w:rFonts w:hint="eastAsia"/>
        </w:rPr>
        <w:t>防水和防潮</w:t>
      </w:r>
      <w:bookmarkEnd w:id="108"/>
    </w:p>
    <w:p>
      <w:pPr>
        <w:pStyle w:val="177"/>
        <w:numPr>
          <w:ilvl w:val="0"/>
          <w:numId w:val="64"/>
        </w:numPr>
      </w:pPr>
      <w:r>
        <w:rPr>
          <w:rFonts w:hint="eastAsia"/>
        </w:rPr>
        <w:t>应采取措施防止雨水通过机房或</w:t>
      </w:r>
      <w:r>
        <w:t>场地</w:t>
      </w:r>
      <w:r>
        <w:rPr>
          <w:rFonts w:hint="eastAsia"/>
        </w:rPr>
        <w:t>窗户、屋顶和墙壁渗透；</w:t>
      </w:r>
    </w:p>
    <w:p>
      <w:pPr>
        <w:pStyle w:val="177"/>
        <w:numPr>
          <w:ilvl w:val="0"/>
          <w:numId w:val="64"/>
        </w:numPr>
      </w:pPr>
      <w:r>
        <w:rPr>
          <w:rFonts w:hint="eastAsia"/>
        </w:rPr>
        <w:t>应采取措施防止机房内水蒸气结露和地下积水的转移与渗透。</w:t>
      </w:r>
    </w:p>
    <w:p>
      <w:pPr>
        <w:pStyle w:val="97"/>
        <w:spacing w:before="156" w:after="156"/>
      </w:pPr>
      <w:bookmarkStart w:id="109" w:name="_Toc12367"/>
      <w:r>
        <w:rPr>
          <w:rFonts w:hint="eastAsia"/>
        </w:rPr>
        <w:t>防静电</w:t>
      </w:r>
      <w:bookmarkEnd w:id="109"/>
    </w:p>
    <w:p>
      <w:pPr>
        <w:ind w:firstLine="420" w:firstLineChars="200"/>
        <w:rPr>
          <w:rFonts w:ascii="宋体" w:hAnsi="宋体"/>
          <w:color w:val="000008"/>
        </w:rPr>
      </w:pPr>
      <w:r>
        <w:rPr>
          <w:rFonts w:hint="eastAsia" w:ascii="宋体" w:hAnsi="宋体"/>
          <w:color w:val="000008"/>
        </w:rPr>
        <w:t>应满足YD/T 1754-2008中3.2.7的</w:t>
      </w:r>
      <w:r>
        <w:rPr>
          <w:rFonts w:ascii="宋体" w:hAnsi="宋体"/>
          <w:color w:val="000008"/>
        </w:rPr>
        <w:t>相关要求。</w:t>
      </w:r>
    </w:p>
    <w:p>
      <w:pPr>
        <w:pStyle w:val="97"/>
        <w:spacing w:before="156" w:after="156"/>
      </w:pPr>
      <w:bookmarkStart w:id="110" w:name="_Toc10446"/>
      <w:r>
        <w:rPr>
          <w:rFonts w:hint="eastAsia"/>
        </w:rPr>
        <w:t>温湿度控制</w:t>
      </w:r>
      <w:bookmarkEnd w:id="110"/>
    </w:p>
    <w:p>
      <w:pPr>
        <w:ind w:firstLine="420" w:firstLineChars="200"/>
        <w:rPr>
          <w:rFonts w:ascii="宋体" w:hAnsi="宋体"/>
          <w:color w:val="000008"/>
        </w:rPr>
      </w:pPr>
      <w:r>
        <w:rPr>
          <w:rFonts w:hint="eastAsia" w:ascii="宋体" w:hAnsi="宋体"/>
          <w:color w:val="000008"/>
        </w:rPr>
        <w:t>应满足YD/T 1754-2008中3.2.</w:t>
      </w:r>
      <w:r>
        <w:rPr>
          <w:rFonts w:ascii="宋体" w:hAnsi="宋体"/>
          <w:color w:val="000008"/>
        </w:rPr>
        <w:t>8</w:t>
      </w:r>
      <w:r>
        <w:rPr>
          <w:rFonts w:hint="eastAsia" w:ascii="宋体" w:hAnsi="宋体"/>
          <w:color w:val="000008"/>
        </w:rPr>
        <w:t>的</w:t>
      </w:r>
      <w:r>
        <w:rPr>
          <w:rFonts w:ascii="宋体" w:hAnsi="宋体"/>
          <w:color w:val="000008"/>
        </w:rPr>
        <w:t>相关要求。</w:t>
      </w:r>
    </w:p>
    <w:p>
      <w:pPr>
        <w:pStyle w:val="97"/>
        <w:spacing w:before="156" w:after="156"/>
      </w:pPr>
      <w:bookmarkStart w:id="111" w:name="_Toc955"/>
      <w:bookmarkStart w:id="112" w:name="_Toc494121190"/>
      <w:r>
        <w:rPr>
          <w:rFonts w:hint="eastAsia"/>
        </w:rPr>
        <w:t>电力供应</w:t>
      </w:r>
      <w:bookmarkEnd w:id="111"/>
      <w:bookmarkEnd w:id="112"/>
    </w:p>
    <w:p>
      <w:pPr>
        <w:pStyle w:val="235"/>
        <w:rPr>
          <w:rFonts w:hAnsi="宋体"/>
          <w:color w:val="000008"/>
        </w:rPr>
      </w:pPr>
      <w:r>
        <w:rPr>
          <w:rFonts w:hint="eastAsia" w:hAnsi="宋体"/>
          <w:color w:val="000008"/>
        </w:rPr>
        <w:t>应满足YD/T 1754-2008中3.2.</w:t>
      </w:r>
      <w:r>
        <w:rPr>
          <w:rFonts w:hAnsi="宋体"/>
          <w:color w:val="000008"/>
        </w:rPr>
        <w:t>10</w:t>
      </w:r>
      <w:r>
        <w:rPr>
          <w:rFonts w:hint="eastAsia" w:hAnsi="宋体"/>
          <w:color w:val="000008"/>
        </w:rPr>
        <w:t>的</w:t>
      </w:r>
      <w:r>
        <w:rPr>
          <w:rFonts w:hAnsi="宋体"/>
          <w:color w:val="000008"/>
        </w:rPr>
        <w:t>相关要求。</w:t>
      </w:r>
    </w:p>
    <w:p>
      <w:pPr>
        <w:pStyle w:val="97"/>
        <w:spacing w:before="156" w:after="156"/>
      </w:pPr>
      <w:bookmarkStart w:id="113" w:name="_Toc7847"/>
      <w:bookmarkStart w:id="114" w:name="_Toc494121191"/>
      <w:r>
        <w:rPr>
          <w:rFonts w:hint="eastAsia"/>
        </w:rPr>
        <w:t>电磁防护</w:t>
      </w:r>
      <w:bookmarkEnd w:id="113"/>
      <w:bookmarkEnd w:id="114"/>
    </w:p>
    <w:p>
      <w:pPr>
        <w:pStyle w:val="177"/>
        <w:numPr>
          <w:ilvl w:val="0"/>
          <w:numId w:val="65"/>
        </w:numPr>
      </w:pPr>
      <w:r>
        <w:rPr>
          <w:rFonts w:hint="eastAsia"/>
        </w:rPr>
        <w:t>应满足YD/T 1754-2008中3.2.</w:t>
      </w:r>
      <w:r>
        <w:t>11</w:t>
      </w:r>
      <w:r>
        <w:rPr>
          <w:rFonts w:hint="eastAsia"/>
        </w:rPr>
        <w:t>的</w:t>
      </w:r>
      <w:r>
        <w:t>相关要求</w:t>
      </w:r>
      <w:r>
        <w:rPr>
          <w:rFonts w:hint="eastAsia"/>
        </w:rPr>
        <w:t>；</w:t>
      </w:r>
    </w:p>
    <w:p>
      <w:pPr>
        <w:pStyle w:val="177"/>
        <w:numPr>
          <w:ilvl w:val="0"/>
          <w:numId w:val="65"/>
        </w:numPr>
      </w:pPr>
      <w:r>
        <w:rPr>
          <w:rFonts w:hint="eastAsia"/>
        </w:rPr>
        <w:t>电源线和通信线缆应铺设在不同的桥架或管道，避免互相干扰；</w:t>
      </w:r>
    </w:p>
    <w:p>
      <w:pPr>
        <w:pStyle w:val="177"/>
        <w:numPr>
          <w:ilvl w:val="0"/>
          <w:numId w:val="65"/>
        </w:numPr>
      </w:pPr>
      <w:r>
        <w:rPr>
          <w:rFonts w:hint="eastAsia"/>
        </w:rPr>
        <w:t>室外工业</w:t>
      </w:r>
      <w:r>
        <w:t>互联网</w:t>
      </w:r>
      <w:r>
        <w:rPr>
          <w:rFonts w:hint="eastAsia"/>
        </w:rPr>
        <w:t>重要</w:t>
      </w:r>
      <w:r>
        <w:t>设备及控制设备</w:t>
      </w:r>
      <w:r>
        <w:rPr>
          <w:rFonts w:hint="eastAsia"/>
        </w:rPr>
        <w:t>放置应远离强电磁干扰、强热源等环境，如无法避免，应及时做好应急处置和检修</w:t>
      </w:r>
      <w:r>
        <w:rPr>
          <w:rFonts w:hint="eastAsia"/>
          <w:lang w:eastAsia="zh-CN"/>
        </w:rPr>
        <w:t>，</w:t>
      </w:r>
      <w:r>
        <w:rPr>
          <w:rFonts w:hint="eastAsia"/>
        </w:rPr>
        <w:t>保证设备正常运行。</w:t>
      </w:r>
    </w:p>
    <w:p>
      <w:pPr>
        <w:pStyle w:val="108"/>
        <w:spacing w:before="156" w:after="156"/>
      </w:pPr>
      <w:bookmarkStart w:id="115" w:name="_Toc8186"/>
      <w:r>
        <w:rPr>
          <w:rFonts w:hint="eastAsia"/>
        </w:rPr>
        <w:t>增强级防护要求</w:t>
      </w:r>
      <w:bookmarkEnd w:id="115"/>
    </w:p>
    <w:p>
      <w:pPr>
        <w:pStyle w:val="68"/>
        <w:spacing w:before="156" w:after="156"/>
      </w:pPr>
      <w:bookmarkStart w:id="116" w:name="_Toc26160"/>
      <w:r>
        <w:rPr>
          <w:rFonts w:hint="eastAsia"/>
        </w:rPr>
        <w:t>设备安全防护要求</w:t>
      </w:r>
      <w:bookmarkEnd w:id="116"/>
    </w:p>
    <w:p>
      <w:pPr>
        <w:pStyle w:val="59"/>
        <w:ind w:firstLine="420"/>
        <w:rPr>
          <w:rFonts w:hAnsi="宋体"/>
          <w:color w:val="000000"/>
          <w:szCs w:val="21"/>
        </w:rPr>
      </w:pPr>
      <w:r>
        <w:rPr>
          <w:rFonts w:hint="eastAsia" w:hAnsi="宋体"/>
          <w:color w:val="000000"/>
          <w:szCs w:val="21"/>
        </w:rPr>
        <w:t>除满足基本防护要求之外，还应符合以下要求：</w:t>
      </w:r>
    </w:p>
    <w:p>
      <w:pPr>
        <w:pStyle w:val="97"/>
        <w:spacing w:before="156" w:after="156"/>
      </w:pPr>
      <w:bookmarkStart w:id="117" w:name="_Toc13229"/>
      <w:r>
        <w:rPr>
          <w:rFonts w:hint="eastAsia"/>
        </w:rPr>
        <w:t>工业主机安全防护要求</w:t>
      </w:r>
      <w:bookmarkEnd w:id="117"/>
    </w:p>
    <w:p>
      <w:pPr>
        <w:pStyle w:val="177"/>
        <w:numPr>
          <w:ilvl w:val="0"/>
          <w:numId w:val="66"/>
        </w:numPr>
        <w:rPr>
          <w:rFonts w:hint="eastAsia"/>
          <w:sz w:val="21"/>
          <w:szCs w:val="24"/>
        </w:rPr>
      </w:pPr>
      <w:r>
        <w:rPr>
          <w:rFonts w:hint="eastAsia"/>
          <w:sz w:val="21"/>
          <w:szCs w:val="24"/>
        </w:rPr>
        <w:t>应在不影响业务系统运行的前提下，定期对主机设备系统进行补丁更新，补丁安装前要进行完整性和可用性验证；</w:t>
      </w:r>
    </w:p>
    <w:p>
      <w:pPr>
        <w:pStyle w:val="177"/>
        <w:numPr>
          <w:ilvl w:val="0"/>
          <w:numId w:val="66"/>
        </w:numPr>
        <w:rPr>
          <w:rFonts w:hint="eastAsia"/>
          <w:sz w:val="21"/>
          <w:szCs w:val="24"/>
        </w:rPr>
      </w:pPr>
      <w:r>
        <w:rPr>
          <w:rFonts w:hint="eastAsia"/>
          <w:sz w:val="21"/>
          <w:szCs w:val="24"/>
        </w:rPr>
        <w:t>应采用恶意代码防范手段，对于无法及时更新恶意代码库的场景，建议安装工业主机白名单防护软件；</w:t>
      </w:r>
    </w:p>
    <w:p>
      <w:pPr>
        <w:pStyle w:val="177"/>
        <w:numPr>
          <w:ilvl w:val="0"/>
          <w:numId w:val="66"/>
        </w:numPr>
        <w:rPr>
          <w:rFonts w:hint="eastAsia"/>
          <w:sz w:val="21"/>
          <w:szCs w:val="24"/>
        </w:rPr>
      </w:pPr>
      <w:r>
        <w:rPr>
          <w:rFonts w:hint="eastAsia" w:cs="黑体"/>
          <w:color w:val="171717"/>
          <w:sz w:val="21"/>
          <w:szCs w:val="21"/>
        </w:rPr>
        <w:t>应对工业主机系统内的关键系统文件、业务文件、注册表信息等进行安全防护，对文件和注册表的操作权限进行管控；</w:t>
      </w:r>
    </w:p>
    <w:p>
      <w:pPr>
        <w:pStyle w:val="177"/>
        <w:numPr>
          <w:ilvl w:val="0"/>
          <w:numId w:val="66"/>
        </w:numPr>
        <w:rPr>
          <w:rFonts w:hint="eastAsia"/>
          <w:sz w:val="21"/>
          <w:szCs w:val="24"/>
        </w:rPr>
      </w:pPr>
      <w:r>
        <w:rPr>
          <w:rFonts w:hint="eastAsia"/>
          <w:sz w:val="21"/>
          <w:szCs w:val="24"/>
        </w:rPr>
        <w:t>应对跨网使用的工业主机采取严格的管理措施；</w:t>
      </w:r>
    </w:p>
    <w:p>
      <w:pPr>
        <w:pStyle w:val="177"/>
        <w:numPr>
          <w:ilvl w:val="0"/>
          <w:numId w:val="66"/>
        </w:numPr>
        <w:rPr>
          <w:rFonts w:hint="eastAsia"/>
          <w:sz w:val="21"/>
          <w:szCs w:val="24"/>
        </w:rPr>
      </w:pPr>
      <w:r>
        <w:rPr>
          <w:rFonts w:hint="eastAsia"/>
          <w:sz w:val="21"/>
          <w:szCs w:val="24"/>
        </w:rPr>
        <w:t>应通过主机外设安全管理技术手段对确需使用工业主机外设接口的设备实施访问控制，并对设备进行安全验证，以避免未授权的外设终端接入；</w:t>
      </w:r>
    </w:p>
    <w:p>
      <w:pPr>
        <w:pStyle w:val="177"/>
        <w:numPr>
          <w:ilvl w:val="0"/>
          <w:numId w:val="66"/>
        </w:numPr>
        <w:rPr>
          <w:rFonts w:hint="eastAsia"/>
          <w:sz w:val="21"/>
          <w:szCs w:val="24"/>
        </w:rPr>
      </w:pPr>
      <w:r>
        <w:rPr>
          <w:rFonts w:hint="eastAsia"/>
          <w:sz w:val="21"/>
          <w:szCs w:val="24"/>
        </w:rPr>
        <w:t>应对临时接入的主机类设备采用技术管理手段进行访问控制，在进行安全扫描保证安全的前提下接入，并对设备的行为进行审计和管控。</w:t>
      </w:r>
    </w:p>
    <w:p>
      <w:pPr>
        <w:pStyle w:val="177"/>
        <w:numPr>
          <w:ilvl w:val="0"/>
          <w:numId w:val="66"/>
        </w:numPr>
        <w:rPr>
          <w:rFonts w:hint="eastAsia"/>
          <w:sz w:val="21"/>
          <w:szCs w:val="24"/>
        </w:rPr>
      </w:pPr>
      <w:r>
        <w:rPr>
          <w:rFonts w:hint="eastAsia"/>
          <w:sz w:val="21"/>
          <w:szCs w:val="24"/>
        </w:rPr>
        <w:t>对临时接入的设备进行安全扫描，并留存安全扫描记录。</w:t>
      </w:r>
    </w:p>
    <w:p>
      <w:pPr>
        <w:pStyle w:val="97"/>
        <w:spacing w:before="156" w:after="156"/>
        <w:rPr>
          <w:rFonts w:hint="eastAsia" w:ascii="宋体" w:hAnsi="Times New Roman" w:eastAsia="宋体" w:cs="Times New Roman"/>
          <w:sz w:val="21"/>
          <w:szCs w:val="24"/>
          <w:lang w:val="en-US" w:eastAsia="zh-CN" w:bidi="ar-SA"/>
        </w:rPr>
      </w:pPr>
      <w:bookmarkStart w:id="118" w:name="_Toc11975"/>
      <w:r>
        <w:rPr>
          <w:rFonts w:hint="eastAsia"/>
        </w:rPr>
        <w:t>网络设备安全防护要求</w:t>
      </w:r>
      <w:bookmarkEnd w:id="118"/>
    </w:p>
    <w:p>
      <w:pPr>
        <w:keepNext w:val="0"/>
        <w:keepLines w:val="0"/>
        <w:pageBreakBefore w:val="0"/>
        <w:widowControl w:val="0"/>
        <w:numPr>
          <w:ilvl w:val="0"/>
          <w:numId w:val="67"/>
        </w:numPr>
        <w:tabs>
          <w:tab w:val="left" w:pos="851"/>
        </w:tabs>
        <w:kinsoku/>
        <w:wordWrap/>
        <w:overflowPunct/>
        <w:topLinePunct w:val="0"/>
        <w:autoSpaceDE/>
        <w:autoSpaceDN/>
        <w:bidi w:val="0"/>
        <w:adjustRightInd w:val="0"/>
        <w:snapToGrid/>
        <w:spacing w:line="240" w:lineRule="auto"/>
        <w:ind w:left="850" w:hanging="425"/>
        <w:jc w:val="both"/>
        <w:textAlignment w:val="auto"/>
        <w:rPr>
          <w:rFonts w:hint="eastAsia"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应实现网络设备的最小服务配置，并对配置文件进行定期离线备份；</w:t>
      </w:r>
    </w:p>
    <w:p>
      <w:pPr>
        <w:keepNext w:val="0"/>
        <w:keepLines w:val="0"/>
        <w:pageBreakBefore w:val="0"/>
        <w:widowControl w:val="0"/>
        <w:numPr>
          <w:ilvl w:val="0"/>
          <w:numId w:val="67"/>
        </w:numPr>
        <w:tabs>
          <w:tab w:val="left" w:pos="851"/>
        </w:tabs>
        <w:kinsoku/>
        <w:wordWrap/>
        <w:overflowPunct/>
        <w:topLinePunct w:val="0"/>
        <w:autoSpaceDE/>
        <w:autoSpaceDN/>
        <w:bidi w:val="0"/>
        <w:adjustRightInd w:val="0"/>
        <w:snapToGrid/>
        <w:spacing w:line="240" w:lineRule="auto"/>
        <w:ind w:left="850" w:hanging="425"/>
        <w:jc w:val="both"/>
        <w:textAlignment w:val="auto"/>
        <w:rPr>
          <w:rFonts w:hint="eastAsia"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应及时更新网络设备系统和补丁，系统和补丁升级前进行安全性验证，并提前对重要文件进行备份；</w:t>
      </w:r>
    </w:p>
    <w:p>
      <w:pPr>
        <w:keepNext w:val="0"/>
        <w:keepLines w:val="0"/>
        <w:pageBreakBefore w:val="0"/>
        <w:widowControl w:val="0"/>
        <w:numPr>
          <w:ilvl w:val="0"/>
          <w:numId w:val="67"/>
        </w:numPr>
        <w:tabs>
          <w:tab w:val="left" w:pos="851"/>
        </w:tabs>
        <w:kinsoku/>
        <w:wordWrap/>
        <w:overflowPunct/>
        <w:topLinePunct w:val="0"/>
        <w:autoSpaceDE/>
        <w:autoSpaceDN/>
        <w:bidi w:val="0"/>
        <w:adjustRightInd w:val="0"/>
        <w:snapToGrid/>
        <w:spacing w:line="240" w:lineRule="auto"/>
        <w:ind w:left="850" w:hanging="425"/>
        <w:jc w:val="both"/>
        <w:textAlignment w:val="auto"/>
        <w:rPr>
          <w:rFonts w:hint="eastAsia"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应在不影响业务的前提下，定期对网络设备系统进行漏洞扫描，对发现的安全漏洞及时处理；</w:t>
      </w:r>
    </w:p>
    <w:p>
      <w:pPr>
        <w:keepNext w:val="0"/>
        <w:keepLines w:val="0"/>
        <w:pageBreakBefore w:val="0"/>
        <w:widowControl w:val="0"/>
        <w:numPr>
          <w:ilvl w:val="0"/>
          <w:numId w:val="67"/>
        </w:numPr>
        <w:tabs>
          <w:tab w:val="left" w:pos="851"/>
        </w:tabs>
        <w:kinsoku/>
        <w:wordWrap/>
        <w:overflowPunct/>
        <w:topLinePunct w:val="0"/>
        <w:autoSpaceDE/>
        <w:autoSpaceDN/>
        <w:bidi w:val="0"/>
        <w:adjustRightInd w:val="0"/>
        <w:snapToGrid/>
        <w:spacing w:line="240" w:lineRule="auto"/>
        <w:ind w:left="850" w:hanging="425"/>
        <w:jc w:val="both"/>
        <w:textAlignment w:val="auto"/>
        <w:rPr>
          <w:rFonts w:hint="eastAsia"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应对网络监控日志进行管理和审计分析，发现安全风险或问题，及时进行处理；</w:t>
      </w:r>
    </w:p>
    <w:p>
      <w:pPr>
        <w:keepNext w:val="0"/>
        <w:keepLines w:val="0"/>
        <w:pageBreakBefore w:val="0"/>
        <w:widowControl w:val="0"/>
        <w:numPr>
          <w:ilvl w:val="0"/>
          <w:numId w:val="67"/>
        </w:numPr>
        <w:tabs>
          <w:tab w:val="left" w:pos="851"/>
        </w:tabs>
        <w:kinsoku/>
        <w:wordWrap/>
        <w:overflowPunct/>
        <w:topLinePunct w:val="0"/>
        <w:autoSpaceDE/>
        <w:autoSpaceDN/>
        <w:bidi w:val="0"/>
        <w:adjustRightInd w:val="0"/>
        <w:snapToGrid/>
        <w:spacing w:line="240" w:lineRule="auto"/>
        <w:ind w:left="850" w:hanging="425"/>
        <w:jc w:val="both"/>
        <w:textAlignment w:val="auto"/>
        <w:rPr>
          <w:rFonts w:hint="eastAsia"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应对网络设备采取登录失败处理措施，包括限制登录失败次数、连接超时自动退出、结束会话等；</w:t>
      </w:r>
    </w:p>
    <w:p>
      <w:pPr>
        <w:keepNext w:val="0"/>
        <w:keepLines w:val="0"/>
        <w:pageBreakBefore w:val="0"/>
        <w:widowControl w:val="0"/>
        <w:numPr>
          <w:ilvl w:val="0"/>
          <w:numId w:val="67"/>
        </w:numPr>
        <w:tabs>
          <w:tab w:val="left" w:pos="851"/>
        </w:tabs>
        <w:kinsoku/>
        <w:wordWrap/>
        <w:overflowPunct/>
        <w:topLinePunct w:val="0"/>
        <w:autoSpaceDE/>
        <w:autoSpaceDN/>
        <w:bidi w:val="0"/>
        <w:adjustRightInd w:val="0"/>
        <w:snapToGrid/>
        <w:spacing w:line="240" w:lineRule="auto"/>
        <w:ind w:left="850" w:hanging="425"/>
        <w:jc w:val="both"/>
        <w:textAlignment w:val="auto"/>
        <w:rPr>
          <w:rFonts w:hint="eastAsia"/>
        </w:rPr>
      </w:pPr>
      <w:r>
        <w:rPr>
          <w:rFonts w:hint="eastAsia" w:ascii="宋体" w:hAnsi="Times New Roman" w:eastAsia="宋体" w:cs="Times New Roman"/>
          <w:sz w:val="21"/>
          <w:szCs w:val="24"/>
          <w:lang w:val="en-US" w:eastAsia="zh-CN" w:bidi="ar-SA"/>
        </w:rPr>
        <w:t>应对网络设备的远程管理采取必要的安全措施，对远程操作进行实时审计和管控，防止鉴别信息在传输过程中被窃取。</w:t>
      </w:r>
    </w:p>
    <w:p>
      <w:pPr>
        <w:pStyle w:val="97"/>
        <w:spacing w:before="156" w:after="156"/>
        <w:rPr>
          <w:rFonts w:hint="eastAsia"/>
        </w:rPr>
      </w:pPr>
      <w:bookmarkStart w:id="119" w:name="_Toc1785"/>
      <w:r>
        <w:rPr>
          <w:rFonts w:hint="eastAsia"/>
        </w:rPr>
        <w:t>工业控制设备安全防护要求</w:t>
      </w:r>
      <w:bookmarkEnd w:id="119"/>
    </w:p>
    <w:p>
      <w:pPr>
        <w:pStyle w:val="177"/>
        <w:numPr>
          <w:ilvl w:val="0"/>
          <w:numId w:val="68"/>
        </w:numPr>
        <w:spacing w:beforeLines="0" w:afterLines="0"/>
        <w:rPr>
          <w:rFonts w:hint="eastAsia"/>
          <w:sz w:val="21"/>
          <w:szCs w:val="24"/>
        </w:rPr>
      </w:pPr>
      <w:r>
        <w:rPr>
          <w:rFonts w:hint="eastAsia"/>
          <w:sz w:val="21"/>
          <w:szCs w:val="24"/>
        </w:rPr>
        <w:t>工业控制设备应具备对访问行为主体（人员、进程和设备）进行标识与鉴别的功能；</w:t>
      </w:r>
    </w:p>
    <w:p>
      <w:pPr>
        <w:pStyle w:val="177"/>
        <w:numPr>
          <w:ilvl w:val="0"/>
          <w:numId w:val="68"/>
        </w:numPr>
        <w:spacing w:beforeLines="0" w:afterLines="0"/>
        <w:rPr>
          <w:rFonts w:hint="eastAsia"/>
          <w:sz w:val="21"/>
          <w:szCs w:val="24"/>
        </w:rPr>
      </w:pPr>
      <w:r>
        <w:rPr>
          <w:rFonts w:hint="eastAsia"/>
          <w:sz w:val="21"/>
          <w:szCs w:val="24"/>
        </w:rPr>
        <w:t>工业控制设备自身应支持基于角色的访问控制策略配置，并对重要的安全性事件和重要生产活动进行审计；</w:t>
      </w:r>
    </w:p>
    <w:p>
      <w:pPr>
        <w:pStyle w:val="177"/>
        <w:numPr>
          <w:ilvl w:val="0"/>
          <w:numId w:val="68"/>
        </w:numPr>
        <w:spacing w:beforeLines="0" w:afterLines="0"/>
        <w:rPr>
          <w:rFonts w:hint="eastAsia"/>
          <w:sz w:val="21"/>
          <w:szCs w:val="24"/>
        </w:rPr>
      </w:pPr>
      <w:r>
        <w:rPr>
          <w:rFonts w:hint="eastAsia"/>
          <w:sz w:val="21"/>
          <w:szCs w:val="24"/>
        </w:rPr>
        <w:t>工业控制设备应具备数据完整性校验功能，防止对静态数据进行非授权写操作的保护机制（硬件或软件），并具备抵御数据包插入、丢失、重放、篡改的机制；</w:t>
      </w:r>
    </w:p>
    <w:p>
      <w:pPr>
        <w:pStyle w:val="177"/>
        <w:numPr>
          <w:ilvl w:val="0"/>
          <w:numId w:val="68"/>
        </w:numPr>
        <w:spacing w:beforeLines="0" w:afterLines="0"/>
        <w:rPr>
          <w:rFonts w:hint="eastAsia"/>
          <w:sz w:val="21"/>
          <w:szCs w:val="24"/>
        </w:rPr>
      </w:pPr>
      <w:r>
        <w:rPr>
          <w:rFonts w:hint="eastAsia"/>
          <w:sz w:val="21"/>
          <w:szCs w:val="24"/>
        </w:rPr>
        <w:t>对于控制设备内部的关键程序和文件，应具备对其进行加密和操作授权的功能，防止关键业务逻辑被窃取和篡改；</w:t>
      </w:r>
    </w:p>
    <w:p>
      <w:pPr>
        <w:pStyle w:val="177"/>
        <w:numPr>
          <w:ilvl w:val="0"/>
          <w:numId w:val="68"/>
        </w:numPr>
        <w:spacing w:beforeLines="0" w:afterLines="0"/>
        <w:rPr>
          <w:rFonts w:hint="eastAsia"/>
          <w:sz w:val="21"/>
          <w:szCs w:val="24"/>
        </w:rPr>
      </w:pPr>
      <w:r>
        <w:rPr>
          <w:rFonts w:hint="eastAsia"/>
          <w:sz w:val="21"/>
          <w:szCs w:val="24"/>
        </w:rPr>
        <w:t>对于需要远程维护的，要实行实时监管和审计，防止高危操作影响正常业务运行，加强在维护过程中文件传输和程序运行的管控，防止非正常文件输入和关键业务信息的输出。</w:t>
      </w:r>
    </w:p>
    <w:p>
      <w:pPr>
        <w:pStyle w:val="177"/>
        <w:numPr>
          <w:ilvl w:val="0"/>
          <w:numId w:val="68"/>
        </w:numPr>
        <w:spacing w:beforeLines="0" w:afterLines="0"/>
        <w:rPr>
          <w:rFonts w:hint="eastAsia"/>
          <w:sz w:val="21"/>
          <w:szCs w:val="24"/>
        </w:rPr>
      </w:pPr>
      <w:r>
        <w:rPr>
          <w:rFonts w:hint="eastAsia"/>
          <w:sz w:val="21"/>
          <w:szCs w:val="24"/>
        </w:rPr>
        <w:t>应部署统一配置管理平台对RTU、IED、DPU等现场测控设备进行集中管理；</w:t>
      </w:r>
    </w:p>
    <w:p>
      <w:pPr>
        <w:pStyle w:val="177"/>
        <w:numPr>
          <w:ilvl w:val="0"/>
          <w:numId w:val="68"/>
        </w:numPr>
        <w:spacing w:beforeLines="0" w:afterLines="0"/>
        <w:rPr>
          <w:rFonts w:hint="eastAsia"/>
          <w:sz w:val="21"/>
          <w:szCs w:val="24"/>
        </w:rPr>
      </w:pPr>
      <w:r>
        <w:rPr>
          <w:rFonts w:hint="eastAsia"/>
          <w:sz w:val="21"/>
          <w:szCs w:val="24"/>
        </w:rPr>
        <w:t>如现场测控设备直接或依靠其他工具提供备份功能，应进行应用级和系统级信息（包括系统安全状态信息）的备份。</w:t>
      </w:r>
    </w:p>
    <w:p>
      <w:pPr>
        <w:pStyle w:val="177"/>
        <w:numPr>
          <w:ilvl w:val="0"/>
          <w:numId w:val="13"/>
        </w:numPr>
        <w:rPr>
          <w:rFonts w:hint="eastAsia"/>
        </w:rPr>
      </w:pPr>
      <w:r>
        <w:rPr>
          <w:rFonts w:hint="eastAsia"/>
        </w:rPr>
        <w:t>应对未使用的网络接口或串行通信接口进行关闭或封锁。</w:t>
      </w:r>
    </w:p>
    <w:p>
      <w:pPr>
        <w:pStyle w:val="68"/>
        <w:spacing w:before="156" w:after="156"/>
        <w:ind w:left="0" w:firstLine="0"/>
      </w:pPr>
      <w:bookmarkStart w:id="120" w:name="_Toc1358"/>
      <w:bookmarkStart w:id="121" w:name="_Toc14218"/>
      <w:r>
        <w:rPr>
          <w:rFonts w:hint="eastAsia"/>
        </w:rPr>
        <w:t>控制安全防护要求</w:t>
      </w:r>
      <w:bookmarkEnd w:id="120"/>
      <w:bookmarkEnd w:id="121"/>
    </w:p>
    <w:p>
      <w:pPr>
        <w:pStyle w:val="59"/>
        <w:ind w:firstLine="420"/>
      </w:pPr>
      <w:r>
        <w:rPr>
          <w:rFonts w:hint="eastAsia"/>
        </w:rPr>
        <w:t>除满足基本防护要求之外，还应符合以下要求：</w:t>
      </w:r>
    </w:p>
    <w:p>
      <w:pPr>
        <w:pStyle w:val="97"/>
        <w:spacing w:before="156" w:after="156"/>
        <w:ind w:left="0" w:firstLine="0"/>
        <w:rPr>
          <w:szCs w:val="24"/>
        </w:rPr>
      </w:pPr>
      <w:bookmarkStart w:id="122" w:name="_Toc25717"/>
      <w:bookmarkStart w:id="123" w:name="_Toc2881"/>
      <w:r>
        <w:rPr>
          <w:rFonts w:hint="eastAsia"/>
        </w:rPr>
        <w:t>应用工业互联网的工业企业控制系统安全防护要求</w:t>
      </w:r>
      <w:bookmarkEnd w:id="122"/>
      <w:bookmarkEnd w:id="123"/>
    </w:p>
    <w:p>
      <w:pPr>
        <w:keepNext w:val="0"/>
        <w:keepLines w:val="0"/>
        <w:pageBreakBefore w:val="0"/>
        <w:widowControl w:val="0"/>
        <w:numPr>
          <w:ilvl w:val="0"/>
          <w:numId w:val="69"/>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lang w:val="en-US" w:eastAsia="zh-CN" w:bidi="ar-SA"/>
        </w:rPr>
        <w:t>应定期自</w:t>
      </w:r>
      <w:r>
        <w:rPr>
          <w:rFonts w:hint="eastAsia" w:ascii="宋体" w:hAnsi="Times New Roman" w:eastAsia="宋体" w:cs="Times New Roman"/>
          <w:sz w:val="21"/>
          <w:highlight w:val="none"/>
          <w:lang w:val="en-US" w:eastAsia="zh-CN" w:bidi="ar-SA"/>
        </w:rPr>
        <w:t>行对工业控制系统安全配置进行核查审计，避免因调试或其他操作导致配置变更后，未及时更新配置清单；</w:t>
      </w:r>
    </w:p>
    <w:p>
      <w:pPr>
        <w:keepNext w:val="0"/>
        <w:keepLines w:val="0"/>
        <w:pageBreakBefore w:val="0"/>
        <w:widowControl w:val="0"/>
        <w:numPr>
          <w:ilvl w:val="0"/>
          <w:numId w:val="69"/>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应针对工业控制系统的开发、测试和生产分别提供独立环境，避免开发、测试环境中的安全风险引入生产系统；</w:t>
      </w:r>
    </w:p>
    <w:p>
      <w:pPr>
        <w:keepNext w:val="0"/>
        <w:keepLines w:val="0"/>
        <w:pageBreakBefore w:val="0"/>
        <w:widowControl w:val="0"/>
        <w:numPr>
          <w:ilvl w:val="0"/>
          <w:numId w:val="69"/>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应部署具备对工业控制系统与网络进行状态监测、日志采集与事件管理、流量采集与行为分析、异常告警及关联分析等功能的网络安全监测设备，及时发现、报告并处理包括设备状态异常、恶意软件传播、异常流量、异常诊断日志、端口扫描、暴力破解等网络攻击或异常行为；</w:t>
      </w:r>
    </w:p>
    <w:p>
      <w:pPr>
        <w:keepNext w:val="0"/>
        <w:keepLines w:val="0"/>
        <w:pageBreakBefore w:val="0"/>
        <w:widowControl w:val="0"/>
        <w:numPr>
          <w:ilvl w:val="0"/>
          <w:numId w:val="69"/>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szCs w:val="24"/>
          <w:highlight w:val="none"/>
          <w:lang w:val="en-US" w:eastAsia="zh-CN" w:bidi="ar-SA"/>
        </w:rPr>
        <w:t>应每半年针对工业控制系统进行一次全面的安全检查和评估</w:t>
      </w:r>
      <w:r>
        <w:rPr>
          <w:rFonts w:hint="eastAsia" w:ascii="宋体" w:hAnsi="Times New Roman" w:eastAsia="宋体" w:cs="Times New Roman"/>
          <w:sz w:val="21"/>
          <w:highlight w:val="none"/>
          <w:lang w:val="en-US" w:eastAsia="zh-CN" w:bidi="ar-SA"/>
        </w:rPr>
        <w:t>，防止出现重大安全缺陷或安全漏洞；</w:t>
      </w:r>
    </w:p>
    <w:p>
      <w:pPr>
        <w:keepNext w:val="0"/>
        <w:keepLines w:val="0"/>
        <w:pageBreakBefore w:val="0"/>
        <w:widowControl w:val="0"/>
        <w:numPr>
          <w:ilvl w:val="0"/>
          <w:numId w:val="69"/>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对发现的重大安全缺陷或安全漏洞，经过充分测试评估后，应及时进行修补或建立针对性的第三方检测防护技术措施；</w:t>
      </w:r>
    </w:p>
    <w:p>
      <w:pPr>
        <w:pStyle w:val="97"/>
        <w:spacing w:before="156" w:after="156"/>
        <w:ind w:left="0" w:firstLine="0"/>
      </w:pPr>
      <w:bookmarkStart w:id="124" w:name="_Toc6874"/>
      <w:bookmarkStart w:id="125" w:name="_Toc30079"/>
      <w:r>
        <w:rPr>
          <w:rFonts w:hint="eastAsia"/>
        </w:rPr>
        <w:t>组态软件安全要求</w:t>
      </w:r>
      <w:bookmarkEnd w:id="124"/>
      <w:bookmarkEnd w:id="125"/>
    </w:p>
    <w:p>
      <w:pPr>
        <w:keepNext w:val="0"/>
        <w:keepLines w:val="0"/>
        <w:pageBreakBefore w:val="0"/>
        <w:widowControl w:val="0"/>
        <w:numPr>
          <w:ilvl w:val="0"/>
          <w:numId w:val="70"/>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应对组态软件的通信进行机密</w:t>
      </w:r>
      <w:r>
        <w:rPr>
          <w:rFonts w:hint="eastAsia" w:ascii="宋体" w:hAnsi="Times New Roman" w:cs="Times New Roman"/>
          <w:sz w:val="21"/>
          <w:highlight w:val="none"/>
          <w:lang w:val="en-US" w:eastAsia="zh-CN" w:bidi="ar-SA"/>
        </w:rPr>
        <w:t>性</w:t>
      </w:r>
      <w:r>
        <w:rPr>
          <w:rFonts w:hint="eastAsia" w:ascii="宋体" w:hAnsi="Times New Roman" w:eastAsia="宋体" w:cs="Times New Roman"/>
          <w:sz w:val="21"/>
          <w:highlight w:val="none"/>
          <w:lang w:val="en-US" w:eastAsia="zh-CN" w:bidi="ar-SA"/>
        </w:rPr>
        <w:t>保护；</w:t>
      </w:r>
    </w:p>
    <w:p>
      <w:pPr>
        <w:keepNext w:val="0"/>
        <w:keepLines w:val="0"/>
        <w:pageBreakBefore w:val="0"/>
        <w:widowControl w:val="0"/>
        <w:numPr>
          <w:ilvl w:val="0"/>
          <w:numId w:val="70"/>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应采取措施保证组态软件的软硬件运行环境安全；</w:t>
      </w:r>
    </w:p>
    <w:p>
      <w:pPr>
        <w:keepNext w:val="0"/>
        <w:keepLines w:val="0"/>
        <w:pageBreakBefore w:val="0"/>
        <w:widowControl w:val="0"/>
        <w:numPr>
          <w:ilvl w:val="0"/>
          <w:numId w:val="70"/>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应对组态软件加载的第三方库文件进行签名验证；</w:t>
      </w:r>
    </w:p>
    <w:p>
      <w:pPr>
        <w:keepNext w:val="0"/>
        <w:keepLines w:val="0"/>
        <w:pageBreakBefore w:val="0"/>
        <w:widowControl w:val="0"/>
        <w:numPr>
          <w:ilvl w:val="0"/>
          <w:numId w:val="70"/>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应对组态软件进行第三方安全代码审计，对发现的安全缺陷或安全漏洞及时进行修补。</w:t>
      </w:r>
    </w:p>
    <w:p>
      <w:pPr>
        <w:pStyle w:val="97"/>
        <w:spacing w:before="156" w:after="156"/>
        <w:ind w:left="0" w:firstLine="0"/>
      </w:pPr>
      <w:bookmarkStart w:id="126" w:name="_Toc16556"/>
      <w:bookmarkStart w:id="127" w:name="_Toc1457"/>
      <w:r>
        <w:rPr>
          <w:rFonts w:hint="eastAsia"/>
        </w:rPr>
        <w:t>配置安全要求</w:t>
      </w:r>
      <w:bookmarkEnd w:id="126"/>
      <w:bookmarkEnd w:id="127"/>
    </w:p>
    <w:p>
      <w:pPr>
        <w:keepNext w:val="0"/>
        <w:keepLines w:val="0"/>
        <w:pageBreakBefore w:val="0"/>
        <w:widowControl w:val="0"/>
        <w:numPr>
          <w:ilvl w:val="0"/>
          <w:numId w:val="71"/>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应具备恶意代码防护、服务器口令、服务器安全审计、服务器补丁更新、网络设备等口令接入控制及统一防护等方面的策略；</w:t>
      </w:r>
    </w:p>
    <w:p>
      <w:pPr>
        <w:keepNext w:val="0"/>
        <w:keepLines w:val="0"/>
        <w:pageBreakBefore w:val="0"/>
        <w:widowControl w:val="0"/>
        <w:numPr>
          <w:ilvl w:val="0"/>
          <w:numId w:val="71"/>
        </w:numPr>
        <w:tabs>
          <w:tab w:val="left" w:pos="851"/>
        </w:tabs>
        <w:kinsoku/>
        <w:wordWrap/>
        <w:overflowPunct/>
        <w:topLinePunct w:val="0"/>
        <w:autoSpaceDE/>
        <w:autoSpaceDN/>
        <w:bidi w:val="0"/>
        <w:adjustRightInd w:val="0"/>
        <w:snapToGrid/>
        <w:spacing w:line="240" w:lineRule="auto"/>
        <w:ind w:left="850" w:hanging="425"/>
        <w:jc w:val="both"/>
        <w:textAlignment w:val="auto"/>
        <w:rPr>
          <w:rFonts w:hint="eastAsia" w:ascii="宋体" w:hAnsi="Times New Roman" w:eastAsia="宋体" w:cs="Times New Roman"/>
          <w:sz w:val="21"/>
          <w:szCs w:val="24"/>
          <w:highlight w:val="none"/>
          <w:lang w:val="en-US" w:eastAsia="zh-CN" w:bidi="ar-SA"/>
        </w:rPr>
      </w:pPr>
      <w:r>
        <w:rPr>
          <w:rFonts w:hint="eastAsia" w:ascii="宋体" w:hAnsi="Times New Roman" w:eastAsia="宋体" w:cs="Times New Roman"/>
          <w:sz w:val="21"/>
          <w:highlight w:val="none"/>
          <w:lang w:val="en-US" w:eastAsia="zh-CN" w:bidi="ar-SA"/>
        </w:rPr>
        <w:t>应建立独立的配置变更管理服务器，</w:t>
      </w:r>
      <w:r>
        <w:rPr>
          <w:rFonts w:hint="eastAsia" w:ascii="宋体" w:hAnsi="Times New Roman" w:eastAsia="宋体" w:cs="Times New Roman"/>
          <w:sz w:val="21"/>
          <w:szCs w:val="24"/>
          <w:highlight w:val="none"/>
          <w:lang w:val="en-US" w:eastAsia="zh-CN" w:bidi="ar-SA"/>
        </w:rPr>
        <w:t>用于存放配置信息及备份的配置，按照约定的周期备份配置，并定期开展备份恢复测试；</w:t>
      </w:r>
    </w:p>
    <w:p>
      <w:pPr>
        <w:keepNext w:val="0"/>
        <w:keepLines w:val="0"/>
        <w:pageBreakBefore w:val="0"/>
        <w:widowControl w:val="0"/>
        <w:numPr>
          <w:ilvl w:val="0"/>
          <w:numId w:val="13"/>
        </w:numPr>
        <w:kinsoku/>
        <w:wordWrap/>
        <w:overflowPunct/>
        <w:topLinePunct w:val="0"/>
        <w:autoSpaceDE/>
        <w:autoSpaceDN/>
        <w:bidi w:val="0"/>
        <w:adjustRightInd w:val="0"/>
        <w:snapToGrid/>
        <w:spacing w:line="240" w:lineRule="auto"/>
        <w:ind w:left="850" w:hanging="425"/>
        <w:jc w:val="both"/>
        <w:textAlignment w:val="auto"/>
        <w:rPr>
          <w:rFonts w:hint="eastAsia" w:ascii="宋体" w:hAnsi="Times New Roman" w:eastAsia="宋体" w:cs="Times New Roman"/>
          <w:sz w:val="21"/>
          <w:szCs w:val="24"/>
          <w:highlight w:val="none"/>
          <w:lang w:val="en-US" w:eastAsia="zh-CN" w:bidi="ar-SA"/>
        </w:rPr>
      </w:pPr>
      <w:r>
        <w:rPr>
          <w:rFonts w:hint="eastAsia" w:ascii="宋体" w:hAnsi="Times New Roman" w:eastAsia="宋体" w:cs="Times New Roman"/>
          <w:sz w:val="21"/>
          <w:szCs w:val="24"/>
          <w:highlight w:val="none"/>
          <w:lang w:val="en-US" w:eastAsia="zh-CN" w:bidi="ar-SA"/>
        </w:rPr>
        <w:t>应严格管理配置管理库的访问权限，核心配置信息要控制知悉范围，配置管理库的完整性、可用性要得到保证；</w:t>
      </w:r>
    </w:p>
    <w:p>
      <w:pPr>
        <w:keepNext w:val="0"/>
        <w:keepLines w:val="0"/>
        <w:pageBreakBefore w:val="0"/>
        <w:widowControl w:val="0"/>
        <w:numPr>
          <w:ilvl w:val="0"/>
          <w:numId w:val="13"/>
        </w:numPr>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highlight w:val="none"/>
          <w:lang w:val="en-US" w:eastAsia="zh-CN" w:bidi="ar-SA"/>
        </w:rPr>
      </w:pPr>
      <w:r>
        <w:rPr>
          <w:rFonts w:hint="eastAsia" w:ascii="宋体" w:hAnsi="Times New Roman" w:eastAsia="宋体" w:cs="Times New Roman"/>
          <w:sz w:val="21"/>
          <w:szCs w:val="24"/>
          <w:highlight w:val="none"/>
          <w:lang w:val="en-US" w:eastAsia="zh-CN" w:bidi="ar-SA"/>
        </w:rPr>
        <w:t>应建立机制定期评审正在运行的配置，以发现潜在的风险或任何可能优化配置的改进点。</w:t>
      </w:r>
    </w:p>
    <w:p>
      <w:pPr>
        <w:pStyle w:val="97"/>
        <w:spacing w:before="156" w:after="156"/>
        <w:ind w:left="0" w:firstLine="0"/>
        <w:rPr>
          <w:highlight w:val="none"/>
        </w:rPr>
      </w:pPr>
      <w:bookmarkStart w:id="128" w:name="_Toc24267"/>
      <w:bookmarkStart w:id="129" w:name="_Toc13029"/>
      <w:r>
        <w:rPr>
          <w:rFonts w:hint="eastAsia" w:hAnsi="黑体"/>
          <w:color w:val="000000"/>
          <w:szCs w:val="21"/>
          <w:highlight w:val="none"/>
        </w:rPr>
        <w:t>智能装备控制安全要求</w:t>
      </w:r>
      <w:bookmarkEnd w:id="128"/>
      <w:bookmarkEnd w:id="129"/>
    </w:p>
    <w:p>
      <w:pPr>
        <w:keepNext w:val="0"/>
        <w:keepLines w:val="0"/>
        <w:pageBreakBefore w:val="0"/>
        <w:widowControl w:val="0"/>
        <w:numPr>
          <w:ilvl w:val="0"/>
          <w:numId w:val="72"/>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szCs w:val="24"/>
          <w:highlight w:val="none"/>
          <w:lang w:val="en-US" w:eastAsia="zh-CN" w:bidi="ar-SA"/>
        </w:rPr>
      </w:pPr>
      <w:r>
        <w:rPr>
          <w:rFonts w:hint="eastAsia" w:ascii="宋体" w:hAnsi="Times New Roman" w:eastAsia="宋体" w:cs="Times New Roman"/>
          <w:sz w:val="21"/>
          <w:szCs w:val="24"/>
          <w:highlight w:val="none"/>
          <w:lang w:val="en-US" w:eastAsia="zh-CN" w:bidi="ar-SA"/>
        </w:rPr>
        <w:t>现场重要设备应具有完善的控制指令来源识别验证、访问控制功能；</w:t>
      </w:r>
    </w:p>
    <w:p>
      <w:pPr>
        <w:keepNext w:val="0"/>
        <w:keepLines w:val="0"/>
        <w:pageBreakBefore w:val="0"/>
        <w:widowControl w:val="0"/>
        <w:numPr>
          <w:ilvl w:val="0"/>
          <w:numId w:val="72"/>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szCs w:val="24"/>
          <w:highlight w:val="none"/>
          <w:lang w:val="en-US" w:eastAsia="zh-CN" w:bidi="ar-SA"/>
        </w:rPr>
      </w:pPr>
      <w:r>
        <w:rPr>
          <w:rFonts w:hint="eastAsia" w:ascii="宋体" w:hAnsi="Times New Roman" w:eastAsia="宋体" w:cs="Times New Roman"/>
          <w:sz w:val="21"/>
          <w:szCs w:val="24"/>
          <w:highlight w:val="none"/>
          <w:lang w:val="en-US" w:eastAsia="zh-CN" w:bidi="ar-SA"/>
        </w:rPr>
        <w:t>现场重要设备应支持异常指令、状态等的审计数据上报</w:t>
      </w:r>
      <w:r>
        <w:rPr>
          <w:rFonts w:hint="eastAsia" w:ascii="宋体" w:hAnsi="Times New Roman" w:cs="Times New Roman"/>
          <w:sz w:val="21"/>
          <w:szCs w:val="24"/>
          <w:highlight w:val="none"/>
          <w:lang w:val="en-US" w:eastAsia="zh-CN" w:bidi="ar-SA"/>
        </w:rPr>
        <w:t>；</w:t>
      </w:r>
    </w:p>
    <w:p>
      <w:pPr>
        <w:keepNext w:val="0"/>
        <w:keepLines w:val="0"/>
        <w:pageBreakBefore w:val="0"/>
        <w:widowControl w:val="0"/>
        <w:numPr>
          <w:ilvl w:val="0"/>
          <w:numId w:val="72"/>
        </w:numPr>
        <w:tabs>
          <w:tab w:val="left" w:pos="851"/>
        </w:tabs>
        <w:kinsoku/>
        <w:wordWrap/>
        <w:overflowPunct/>
        <w:topLinePunct w:val="0"/>
        <w:autoSpaceDE/>
        <w:autoSpaceDN/>
        <w:bidi w:val="0"/>
        <w:adjustRightInd w:val="0"/>
        <w:snapToGrid/>
        <w:spacing w:line="240" w:lineRule="auto"/>
        <w:ind w:left="850" w:hanging="425"/>
        <w:jc w:val="both"/>
        <w:textAlignment w:val="auto"/>
      </w:pPr>
      <w:r>
        <w:rPr>
          <w:rFonts w:hint="eastAsia" w:ascii="宋体" w:hAnsi="Times New Roman" w:eastAsia="宋体" w:cs="Times New Roman"/>
          <w:sz w:val="21"/>
          <w:highlight w:val="none"/>
          <w:lang w:val="en-US" w:eastAsia="zh-CN" w:bidi="ar-SA"/>
        </w:rPr>
        <w:t>工业互联网平台与其</w:t>
      </w:r>
      <w:r>
        <w:rPr>
          <w:rFonts w:hint="eastAsia" w:ascii="宋体" w:hAnsi="Times New Roman" w:eastAsia="宋体" w:cs="Times New Roman"/>
          <w:sz w:val="21"/>
          <w:szCs w:val="24"/>
          <w:highlight w:val="none"/>
          <w:lang w:val="en-US" w:eastAsia="zh-CN" w:bidi="ar-SA"/>
        </w:rPr>
        <w:t>直接控制的现场重要设备（如AGV、工业机器人、CNC数控机床、工业网关等）</w:t>
      </w:r>
      <w:r>
        <w:rPr>
          <w:rFonts w:hint="eastAsia" w:ascii="宋体" w:hAnsi="Times New Roman" w:eastAsia="宋体" w:cs="Times New Roman"/>
          <w:sz w:val="21"/>
          <w:highlight w:val="none"/>
          <w:lang w:val="en-US" w:eastAsia="zh-CN" w:bidi="ar-SA"/>
        </w:rPr>
        <w:t>通信时，应对带宽进行限制。</w:t>
      </w:r>
    </w:p>
    <w:p>
      <w:pPr>
        <w:pStyle w:val="68"/>
        <w:spacing w:before="156" w:after="156"/>
        <w:ind w:left="0" w:firstLine="0"/>
      </w:pPr>
      <w:bookmarkStart w:id="130" w:name="_Toc4895"/>
      <w:bookmarkStart w:id="131" w:name="_Toc13593"/>
      <w:r>
        <w:rPr>
          <w:rFonts w:hint="eastAsia"/>
        </w:rPr>
        <w:t>网络安全防护要求</w:t>
      </w:r>
      <w:bookmarkEnd w:id="130"/>
      <w:bookmarkEnd w:id="131"/>
    </w:p>
    <w:p>
      <w:pPr>
        <w:pStyle w:val="97"/>
        <w:spacing w:before="156" w:after="156"/>
        <w:ind w:left="0" w:firstLine="0"/>
      </w:pPr>
      <w:bookmarkStart w:id="132" w:name="_Toc24876"/>
      <w:bookmarkStart w:id="133" w:name="_Toc22544"/>
      <w:r>
        <w:rPr>
          <w:rFonts w:hint="eastAsia"/>
        </w:rPr>
        <w:t>架构安全要求</w:t>
      </w:r>
      <w:bookmarkEnd w:id="132"/>
      <w:bookmarkEnd w:id="133"/>
    </w:p>
    <w:p>
      <w:pPr>
        <w:pStyle w:val="59"/>
        <w:ind w:firstLine="420"/>
      </w:pPr>
      <w:r>
        <w:rPr>
          <w:rFonts w:hint="eastAsia"/>
        </w:rPr>
        <w:t>除满足基本防护要求之外，还应符合以下要求：</w:t>
      </w:r>
    </w:p>
    <w:p>
      <w:pPr>
        <w:keepNext w:val="0"/>
        <w:keepLines w:val="0"/>
        <w:pageBreakBefore w:val="0"/>
        <w:widowControl w:val="0"/>
        <w:numPr>
          <w:ilvl w:val="0"/>
          <w:numId w:val="73"/>
        </w:numPr>
        <w:kinsoku/>
        <w:wordWrap/>
        <w:overflowPunct/>
        <w:topLinePunct w:val="0"/>
        <w:autoSpaceDE/>
        <w:autoSpaceDN/>
        <w:bidi w:val="0"/>
        <w:adjustRightInd w:val="0"/>
        <w:snapToGrid/>
        <w:spacing w:line="240" w:lineRule="auto"/>
        <w:ind w:left="845" w:hanging="420"/>
        <w:jc w:val="both"/>
        <w:textAlignment w:val="auto"/>
        <w:rPr>
          <w:rFonts w:ascii="宋体" w:hAnsi="Times New Roman" w:eastAsia="宋体" w:cs="Times New Roman"/>
          <w:b w:val="0"/>
          <w:bCs w:val="0"/>
          <w:sz w:val="21"/>
          <w:lang w:val="en-US" w:eastAsia="zh-CN" w:bidi="ar-SA"/>
        </w:rPr>
      </w:pPr>
      <w:r>
        <w:rPr>
          <w:rFonts w:hint="eastAsia" w:ascii="宋体" w:hAnsi="Times New Roman" w:eastAsia="宋体" w:cs="Times New Roman"/>
          <w:b w:val="0"/>
          <w:bCs w:val="0"/>
          <w:sz w:val="21"/>
          <w:lang w:val="en-US" w:eastAsia="zh-CN" w:bidi="ar-SA"/>
        </w:rPr>
        <w:t>应将控制系统网络与非控制系统网络进行物理分区，将关键控制系统网络与非关键控制系统网络进行物理分区；</w:t>
      </w:r>
    </w:p>
    <w:p>
      <w:pPr>
        <w:keepNext w:val="0"/>
        <w:keepLines w:val="0"/>
        <w:pageBreakBefore w:val="0"/>
        <w:widowControl w:val="0"/>
        <w:numPr>
          <w:ilvl w:val="0"/>
          <w:numId w:val="73"/>
        </w:numPr>
        <w:kinsoku/>
        <w:wordWrap/>
        <w:overflowPunct/>
        <w:topLinePunct w:val="0"/>
        <w:autoSpaceDE/>
        <w:autoSpaceDN/>
        <w:bidi w:val="0"/>
        <w:adjustRightInd w:val="0"/>
        <w:snapToGrid/>
        <w:spacing w:line="240" w:lineRule="auto"/>
        <w:ind w:left="845" w:hanging="420"/>
        <w:jc w:val="both"/>
        <w:textAlignment w:val="auto"/>
        <w:rPr>
          <w:rFonts w:ascii="宋体" w:hAnsi="Times New Roman" w:eastAsia="宋体" w:cs="Times New Roman"/>
          <w:b w:val="0"/>
          <w:bCs w:val="0"/>
          <w:sz w:val="21"/>
          <w:lang w:val="en-US" w:eastAsia="zh-CN" w:bidi="ar-SA"/>
        </w:rPr>
      </w:pPr>
      <w:r>
        <w:rPr>
          <w:rFonts w:ascii="宋体" w:hAnsi="Times New Roman" w:eastAsia="宋体" w:cs="Times New Roman"/>
          <w:b w:val="0"/>
          <w:bCs w:val="0"/>
          <w:sz w:val="21"/>
          <w:lang w:val="en-US" w:eastAsia="zh-CN" w:bidi="ar-SA"/>
        </w:rPr>
        <w:t>应</w:t>
      </w:r>
      <w:r>
        <w:rPr>
          <w:rFonts w:hint="eastAsia" w:ascii="宋体" w:hAnsi="Times New Roman" w:eastAsia="宋体" w:cs="Times New Roman"/>
          <w:b w:val="0"/>
          <w:bCs w:val="0"/>
          <w:sz w:val="21"/>
          <w:lang w:val="en-US" w:eastAsia="zh-CN" w:bidi="ar-SA"/>
        </w:rPr>
        <w:t>支持</w:t>
      </w:r>
      <w:r>
        <w:rPr>
          <w:rFonts w:ascii="宋体" w:hAnsi="Times New Roman" w:eastAsia="宋体" w:cs="Times New Roman"/>
          <w:b w:val="0"/>
          <w:bCs w:val="0"/>
          <w:sz w:val="21"/>
          <w:lang w:val="en-US" w:eastAsia="zh-CN" w:bidi="ar-SA"/>
        </w:rPr>
        <w:t>在不与非控制系统网络相连的情况下，为关键控制系统网络提供网络服务</w:t>
      </w:r>
      <w:r>
        <w:rPr>
          <w:rFonts w:hint="eastAsia" w:ascii="宋体" w:hAnsi="Times New Roman" w:eastAsia="宋体" w:cs="Times New Roman"/>
          <w:b w:val="0"/>
          <w:bCs w:val="0"/>
          <w:sz w:val="21"/>
          <w:lang w:val="en-US" w:eastAsia="zh-CN" w:bidi="ar-SA"/>
        </w:rPr>
        <w:t>；</w:t>
      </w:r>
    </w:p>
    <w:p>
      <w:pPr>
        <w:keepNext w:val="0"/>
        <w:keepLines w:val="0"/>
        <w:pageBreakBefore w:val="0"/>
        <w:widowControl w:val="0"/>
        <w:numPr>
          <w:ilvl w:val="0"/>
          <w:numId w:val="73"/>
        </w:numPr>
        <w:kinsoku/>
        <w:wordWrap/>
        <w:overflowPunct/>
        <w:topLinePunct w:val="0"/>
        <w:autoSpaceDE/>
        <w:autoSpaceDN/>
        <w:bidi w:val="0"/>
        <w:adjustRightInd w:val="0"/>
        <w:snapToGrid/>
        <w:spacing w:line="240" w:lineRule="auto"/>
        <w:ind w:left="845" w:hanging="420"/>
        <w:jc w:val="both"/>
        <w:textAlignment w:val="auto"/>
        <w:rPr>
          <w:rFonts w:ascii="宋体" w:hAnsi="Times New Roman" w:eastAsia="宋体" w:cs="Times New Roman"/>
          <w:b w:val="0"/>
          <w:bCs w:val="0"/>
          <w:sz w:val="21"/>
          <w:lang w:val="en-US" w:eastAsia="zh-CN" w:bidi="ar-SA"/>
        </w:rPr>
      </w:pPr>
      <w:r>
        <w:rPr>
          <w:rFonts w:hint="eastAsia" w:ascii="宋体" w:hAnsi="Times New Roman" w:eastAsia="宋体" w:cs="Times New Roman"/>
          <w:b w:val="0"/>
          <w:bCs w:val="0"/>
          <w:sz w:val="21"/>
          <w:lang w:val="en-US" w:eastAsia="zh-CN" w:bidi="ar-SA"/>
        </w:rPr>
        <w:t>应能够按照业务服务的重要程度分配带宽，优先保障重要业务；</w:t>
      </w:r>
    </w:p>
    <w:p>
      <w:pPr>
        <w:keepNext w:val="0"/>
        <w:keepLines w:val="0"/>
        <w:pageBreakBefore w:val="0"/>
        <w:widowControl w:val="0"/>
        <w:numPr>
          <w:ilvl w:val="0"/>
          <w:numId w:val="73"/>
        </w:numPr>
        <w:kinsoku/>
        <w:wordWrap/>
        <w:overflowPunct/>
        <w:topLinePunct w:val="0"/>
        <w:autoSpaceDE/>
        <w:autoSpaceDN/>
        <w:bidi w:val="0"/>
        <w:adjustRightInd w:val="0"/>
        <w:snapToGrid/>
        <w:spacing w:line="240" w:lineRule="auto"/>
        <w:ind w:left="845" w:hanging="420"/>
        <w:jc w:val="both"/>
        <w:textAlignment w:val="auto"/>
        <w:rPr>
          <w:rFonts w:ascii="宋体" w:hAnsi="Times New Roman" w:eastAsia="宋体" w:cs="Times New Roman"/>
          <w:b/>
          <w:bCs/>
          <w:sz w:val="21"/>
          <w:lang w:val="en-US" w:eastAsia="zh-CN" w:bidi="ar-SA"/>
        </w:rPr>
      </w:pPr>
      <w:r>
        <w:rPr>
          <w:rFonts w:hint="eastAsia" w:ascii="宋体" w:hAnsi="Times New Roman" w:eastAsia="宋体" w:cs="Times New Roman"/>
          <w:b w:val="0"/>
          <w:bCs w:val="0"/>
          <w:sz w:val="21"/>
          <w:lang w:val="en-US" w:eastAsia="zh-CN" w:bidi="ar-SA"/>
        </w:rPr>
        <w:t>应提供通信线路、关键网络设备和关键计算设备的硬件冗余</w:t>
      </w:r>
      <w:r>
        <w:rPr>
          <w:rFonts w:hint="eastAsia" w:ascii="宋体" w:hAnsi="Times New Roman" w:cs="Times New Roman"/>
          <w:b w:val="0"/>
          <w:bCs w:val="0"/>
          <w:sz w:val="21"/>
          <w:lang w:val="en-US" w:eastAsia="zh-CN" w:bidi="ar-SA"/>
        </w:rPr>
        <w:t>，</w:t>
      </w:r>
      <w:r>
        <w:rPr>
          <w:rFonts w:hint="eastAsia" w:ascii="宋体" w:hAnsi="Times New Roman" w:eastAsia="宋体" w:cs="Times New Roman"/>
          <w:b w:val="0"/>
          <w:bCs w:val="0"/>
          <w:sz w:val="21"/>
          <w:lang w:val="en-US" w:eastAsia="zh-CN" w:bidi="ar-SA"/>
        </w:rPr>
        <w:t>保证信息系统的可用性。</w:t>
      </w:r>
    </w:p>
    <w:p>
      <w:pPr>
        <w:pStyle w:val="97"/>
        <w:spacing w:before="156" w:after="156"/>
        <w:ind w:left="0" w:firstLine="0"/>
      </w:pPr>
      <w:bookmarkStart w:id="134" w:name="_Toc5604"/>
      <w:bookmarkStart w:id="135" w:name="_Toc30742"/>
      <w:r>
        <w:rPr>
          <w:rFonts w:hint="eastAsia"/>
        </w:rPr>
        <w:t>边界安全要求</w:t>
      </w:r>
      <w:bookmarkEnd w:id="134"/>
      <w:bookmarkEnd w:id="135"/>
    </w:p>
    <w:p>
      <w:pPr>
        <w:pStyle w:val="59"/>
        <w:ind w:firstLine="420"/>
      </w:pPr>
      <w:r>
        <w:rPr>
          <w:rFonts w:hint="eastAsia"/>
        </w:rPr>
        <w:t>除满足基本防护要求之外，还应符合以下要求：</w:t>
      </w:r>
    </w:p>
    <w:p>
      <w:pPr>
        <w:keepNext w:val="0"/>
        <w:keepLines w:val="0"/>
        <w:pageBreakBefore w:val="0"/>
        <w:widowControl w:val="0"/>
        <w:numPr>
          <w:ilvl w:val="0"/>
          <w:numId w:val="74"/>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b w:val="0"/>
          <w:bCs w:val="0"/>
          <w:sz w:val="21"/>
          <w:lang w:val="en-US" w:eastAsia="zh-CN" w:bidi="ar-SA"/>
        </w:rPr>
      </w:pPr>
      <w:r>
        <w:rPr>
          <w:rFonts w:ascii="宋体" w:hAnsi="Times New Roman" w:eastAsia="宋体" w:cs="Times New Roman"/>
          <w:b w:val="0"/>
          <w:bCs w:val="0"/>
          <w:sz w:val="21"/>
          <w:lang w:val="en-US" w:eastAsia="zh-CN" w:bidi="ar-SA"/>
        </w:rPr>
        <w:t>应在控制网络和非控制网络的边界防护机制失效时，能阻止所有边界通信；</w:t>
      </w:r>
    </w:p>
    <w:p>
      <w:pPr>
        <w:keepNext w:val="0"/>
        <w:keepLines w:val="0"/>
        <w:pageBreakBefore w:val="0"/>
        <w:widowControl w:val="0"/>
        <w:numPr>
          <w:ilvl w:val="0"/>
          <w:numId w:val="74"/>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b w:val="0"/>
          <w:bCs w:val="0"/>
          <w:sz w:val="21"/>
          <w:lang w:val="en-US" w:eastAsia="zh-CN" w:bidi="ar-SA"/>
        </w:rPr>
      </w:pPr>
      <w:r>
        <w:rPr>
          <w:rFonts w:ascii="宋体" w:hAnsi="Times New Roman" w:eastAsia="宋体" w:cs="Times New Roman"/>
          <w:b w:val="0"/>
          <w:bCs w:val="0"/>
          <w:sz w:val="21"/>
          <w:lang w:val="en-US" w:eastAsia="zh-CN" w:bidi="ar-SA"/>
        </w:rPr>
        <w:t>应在控制系统内安全域和安全域之间的边界防护机制失效时，及时进行报警，并保障不影响关键设备通讯；</w:t>
      </w:r>
    </w:p>
    <w:p>
      <w:pPr>
        <w:keepNext w:val="0"/>
        <w:keepLines w:val="0"/>
        <w:pageBreakBefore w:val="0"/>
        <w:widowControl w:val="0"/>
        <w:numPr>
          <w:ilvl w:val="0"/>
          <w:numId w:val="74"/>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b w:val="0"/>
          <w:bCs w:val="0"/>
          <w:sz w:val="21"/>
          <w:lang w:val="en-US" w:eastAsia="zh-CN" w:bidi="ar-SA"/>
        </w:rPr>
      </w:pPr>
      <w:r>
        <w:rPr>
          <w:rFonts w:hint="eastAsia" w:ascii="宋体" w:hAnsi="Times New Roman" w:eastAsia="宋体" w:cs="Times New Roman"/>
          <w:b w:val="0"/>
          <w:bCs w:val="0"/>
          <w:sz w:val="21"/>
          <w:lang w:val="en-US" w:eastAsia="zh-CN" w:bidi="ar-SA"/>
        </w:rPr>
        <w:t>当使用无线设备连接</w:t>
      </w:r>
      <w:r>
        <w:rPr>
          <w:rFonts w:ascii="宋体" w:hAnsi="Times New Roman" w:eastAsia="宋体" w:cs="Times New Roman"/>
          <w:b w:val="0"/>
          <w:bCs w:val="0"/>
          <w:sz w:val="21"/>
          <w:lang w:val="en-US" w:eastAsia="zh-CN" w:bidi="ar-SA"/>
        </w:rPr>
        <w:t>控制网络和非控制网络，</w:t>
      </w:r>
      <w:r>
        <w:rPr>
          <w:rFonts w:hint="eastAsia" w:ascii="宋体" w:hAnsi="Times New Roman" w:eastAsia="宋体" w:cs="Times New Roman"/>
          <w:b w:val="0"/>
          <w:bCs w:val="0"/>
          <w:sz w:val="21"/>
          <w:lang w:val="en-US" w:eastAsia="zh-CN" w:bidi="ar-SA"/>
        </w:rPr>
        <w:t>或连接</w:t>
      </w:r>
      <w:r>
        <w:rPr>
          <w:rFonts w:ascii="宋体" w:hAnsi="Times New Roman" w:eastAsia="宋体" w:cs="Times New Roman"/>
          <w:b w:val="0"/>
          <w:bCs w:val="0"/>
          <w:sz w:val="21"/>
          <w:lang w:val="en-US" w:eastAsia="zh-CN" w:bidi="ar-SA"/>
        </w:rPr>
        <w:t>控制</w:t>
      </w:r>
      <w:r>
        <w:rPr>
          <w:rFonts w:hint="eastAsia" w:ascii="宋体" w:hAnsi="Times New Roman" w:eastAsia="宋体" w:cs="Times New Roman"/>
          <w:b w:val="0"/>
          <w:bCs w:val="0"/>
          <w:sz w:val="21"/>
          <w:lang w:val="en-US" w:eastAsia="zh-CN" w:bidi="ar-SA"/>
        </w:rPr>
        <w:t>网络</w:t>
      </w:r>
      <w:r>
        <w:rPr>
          <w:rFonts w:ascii="宋体" w:hAnsi="Times New Roman" w:eastAsia="宋体" w:cs="Times New Roman"/>
          <w:b w:val="0"/>
          <w:bCs w:val="0"/>
          <w:sz w:val="21"/>
          <w:lang w:val="en-US" w:eastAsia="zh-CN" w:bidi="ar-SA"/>
        </w:rPr>
        <w:t>内</w:t>
      </w:r>
      <w:r>
        <w:rPr>
          <w:rFonts w:hint="eastAsia" w:ascii="宋体" w:hAnsi="Times New Roman" w:eastAsia="宋体" w:cs="Times New Roman"/>
          <w:b w:val="0"/>
          <w:bCs w:val="0"/>
          <w:sz w:val="21"/>
          <w:lang w:val="en-US" w:eastAsia="zh-CN" w:bidi="ar-SA"/>
        </w:rPr>
        <w:t>不同</w:t>
      </w:r>
      <w:r>
        <w:rPr>
          <w:rFonts w:ascii="宋体" w:hAnsi="Times New Roman" w:eastAsia="宋体" w:cs="Times New Roman"/>
          <w:b w:val="0"/>
          <w:bCs w:val="0"/>
          <w:sz w:val="21"/>
          <w:lang w:val="en-US" w:eastAsia="zh-CN" w:bidi="ar-SA"/>
        </w:rPr>
        <w:t>安全域</w:t>
      </w:r>
      <w:r>
        <w:rPr>
          <w:rFonts w:hint="eastAsia" w:ascii="宋体" w:hAnsi="Times New Roman" w:eastAsia="宋体" w:cs="Times New Roman"/>
          <w:b w:val="0"/>
          <w:bCs w:val="0"/>
          <w:sz w:val="21"/>
          <w:lang w:val="en-US" w:eastAsia="zh-CN" w:bidi="ar-SA"/>
        </w:rPr>
        <w:t>时，应对无线设备采取边界防护措施，包括但不限于身份标识和鉴别、访问控制等</w:t>
      </w:r>
      <w:r>
        <w:rPr>
          <w:rFonts w:hint="eastAsia" w:ascii="宋体" w:hAnsi="Times New Roman" w:cs="Times New Roman"/>
          <w:b w:val="0"/>
          <w:bCs w:val="0"/>
          <w:sz w:val="21"/>
          <w:lang w:val="en-US" w:eastAsia="zh-CN" w:bidi="ar-SA"/>
        </w:rPr>
        <w:t>；</w:t>
      </w:r>
    </w:p>
    <w:p>
      <w:pPr>
        <w:keepNext w:val="0"/>
        <w:keepLines w:val="0"/>
        <w:pageBreakBefore w:val="0"/>
        <w:widowControl w:val="0"/>
        <w:numPr>
          <w:ilvl w:val="0"/>
          <w:numId w:val="74"/>
        </w:numPr>
        <w:tabs>
          <w:tab w:val="left" w:pos="851"/>
        </w:tabs>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b w:val="0"/>
          <w:bCs w:val="0"/>
          <w:sz w:val="21"/>
          <w:lang w:val="en-US" w:eastAsia="zh-CN" w:bidi="ar-SA"/>
        </w:rPr>
      </w:pPr>
      <w:r>
        <w:rPr>
          <w:rFonts w:hint="eastAsia" w:ascii="宋体" w:hAnsi="Times New Roman" w:eastAsia="宋体" w:cs="Times New Roman"/>
          <w:b w:val="0"/>
          <w:bCs w:val="0"/>
          <w:sz w:val="21"/>
          <w:lang w:val="en-US" w:eastAsia="zh-CN" w:bidi="ar-SA"/>
        </w:rPr>
        <w:t>应在网络边界节点处对恶意代码进行检测和清除，并维护恶意代码防护主程序及特征库的升级和更新。</w:t>
      </w:r>
    </w:p>
    <w:p>
      <w:pPr>
        <w:pStyle w:val="97"/>
        <w:spacing w:before="156" w:after="156"/>
        <w:ind w:left="0" w:firstLine="0"/>
      </w:pPr>
      <w:bookmarkStart w:id="136" w:name="_Toc15851"/>
      <w:bookmarkStart w:id="137" w:name="_Toc10648"/>
      <w:r>
        <w:rPr>
          <w:rFonts w:hint="eastAsia"/>
        </w:rPr>
        <w:t>通信安全要求</w:t>
      </w:r>
      <w:bookmarkEnd w:id="136"/>
      <w:bookmarkEnd w:id="137"/>
    </w:p>
    <w:p>
      <w:pPr>
        <w:pStyle w:val="59"/>
        <w:ind w:firstLine="420"/>
      </w:pPr>
      <w:r>
        <w:rPr>
          <w:rFonts w:hint="eastAsia"/>
        </w:rPr>
        <w:t>除满足基本防护要求之外，还应符合以下要求：</w:t>
      </w:r>
    </w:p>
    <w:p>
      <w:pPr>
        <w:numPr>
          <w:ilvl w:val="0"/>
          <w:numId w:val="75"/>
        </w:numPr>
        <w:tabs>
          <w:tab w:val="left" w:pos="851"/>
        </w:tabs>
        <w:ind w:left="851" w:hanging="426"/>
        <w:jc w:val="both"/>
      </w:pPr>
      <w:r>
        <w:rPr>
          <w:rFonts w:hint="eastAsia" w:ascii="宋体" w:hAnsi="Times New Roman" w:eastAsia="宋体" w:cs="Times New Roman"/>
          <w:b w:val="0"/>
          <w:bCs w:val="0"/>
          <w:sz w:val="21"/>
          <w:lang w:val="en-US" w:eastAsia="zh-CN" w:bidi="ar-SA"/>
        </w:rPr>
        <w:t>在工业企业内部网络进行通信数据传输时，</w:t>
      </w:r>
      <w:r>
        <w:rPr>
          <w:rFonts w:ascii="宋体" w:hAnsi="Times New Roman" w:eastAsia="宋体" w:cs="Times New Roman"/>
          <w:b w:val="0"/>
          <w:bCs w:val="0"/>
          <w:sz w:val="21"/>
          <w:lang w:val="en-US" w:eastAsia="zh-CN" w:bidi="ar-SA"/>
        </w:rPr>
        <w:t>应在通信前对通信的双方进行验证或认证。</w:t>
      </w:r>
    </w:p>
    <w:p>
      <w:pPr>
        <w:pStyle w:val="68"/>
        <w:spacing w:before="156" w:after="156"/>
      </w:pPr>
      <w:bookmarkStart w:id="138" w:name="_Toc1535"/>
      <w:r>
        <w:rPr>
          <w:rFonts w:hint="eastAsia"/>
        </w:rPr>
        <w:t>数据安全防护要求</w:t>
      </w:r>
      <w:bookmarkEnd w:id="138"/>
    </w:p>
    <w:p>
      <w:pPr>
        <w:pStyle w:val="59"/>
        <w:ind w:firstLine="420"/>
      </w:pPr>
      <w:r>
        <w:rPr>
          <w:rFonts w:hint="eastAsia"/>
        </w:rPr>
        <w:t>同6.1.4的要求。</w:t>
      </w:r>
    </w:p>
    <w:p>
      <w:pPr>
        <w:pStyle w:val="68"/>
        <w:spacing w:before="156" w:after="156"/>
        <w:ind w:left="0" w:firstLine="0"/>
      </w:pPr>
      <w:bookmarkStart w:id="139" w:name="_Toc11582"/>
      <w:bookmarkStart w:id="140" w:name="_Toc25334"/>
      <w:r>
        <w:rPr>
          <w:rFonts w:hint="eastAsia"/>
        </w:rPr>
        <w:t>软件安全防护要求</w:t>
      </w:r>
      <w:bookmarkEnd w:id="139"/>
      <w:bookmarkEnd w:id="140"/>
    </w:p>
    <w:p>
      <w:pPr>
        <w:pStyle w:val="97"/>
        <w:spacing w:before="156" w:after="156"/>
        <w:ind w:left="0" w:firstLine="0"/>
        <w:rPr>
          <w:szCs w:val="24"/>
        </w:rPr>
      </w:pPr>
      <w:bookmarkStart w:id="141" w:name="_Toc26305"/>
      <w:r>
        <w:rPr>
          <w:rFonts w:hint="eastAsia"/>
          <w:szCs w:val="24"/>
        </w:rPr>
        <w:t>工业互联网设备固件安全要求</w:t>
      </w:r>
      <w:bookmarkEnd w:id="141"/>
    </w:p>
    <w:p>
      <w:pPr>
        <w:keepNext w:val="0"/>
        <w:keepLines w:val="0"/>
        <w:pageBreakBefore w:val="0"/>
        <w:widowControl w:val="0"/>
        <w:numPr>
          <w:ilvl w:val="0"/>
          <w:numId w:val="0"/>
        </w:numPr>
        <w:kinsoku/>
        <w:wordWrap/>
        <w:overflowPunct/>
        <w:topLinePunct w:val="0"/>
        <w:autoSpaceDE/>
        <w:autoSpaceDN/>
        <w:bidi w:val="0"/>
        <w:adjustRightInd w:val="0"/>
        <w:snapToGrid/>
        <w:spacing w:before="156" w:after="156" w:line="240" w:lineRule="auto"/>
        <w:ind w:left="425"/>
        <w:jc w:val="both"/>
        <w:textAlignment w:val="auto"/>
        <w:rPr>
          <w:rFonts w:ascii="宋体" w:hAnsi="Times New Roman" w:eastAsia="宋体" w:cs="Times New Roman"/>
          <w:sz w:val="21"/>
          <w:szCs w:val="24"/>
          <w:lang w:val="en-US" w:eastAsia="zh-CN" w:bidi="ar-SA"/>
        </w:rPr>
      </w:pPr>
      <w:r>
        <w:rPr>
          <w:rFonts w:hint="eastAsia" w:ascii="宋体" w:hAnsi="Times New Roman" w:eastAsia="宋体" w:cs="Times New Roman"/>
          <w:sz w:val="21"/>
          <w:lang w:val="en-US" w:eastAsia="zh-CN" w:bidi="ar-SA"/>
        </w:rPr>
        <w:t>a）</w:t>
      </w:r>
      <w:r>
        <w:rPr>
          <w:rFonts w:hint="eastAsia" w:ascii="宋体" w:hAnsi="Times New Roman" w:eastAsia="宋体" w:cs="Times New Roman"/>
          <w:sz w:val="21"/>
          <w:szCs w:val="24"/>
          <w:lang w:val="en-US" w:eastAsia="zh-CN" w:bidi="ar-SA"/>
        </w:rPr>
        <w:t>应建立各类工业互联网设备的主控芯片型号、软件版本、操作系统（如有）名称及版本等设备底层信息台账；</w:t>
      </w:r>
    </w:p>
    <w:p>
      <w:pPr>
        <w:keepNext w:val="0"/>
        <w:keepLines w:val="0"/>
        <w:pageBreakBefore w:val="0"/>
        <w:widowControl w:val="0"/>
        <w:numPr>
          <w:ilvl w:val="0"/>
          <w:numId w:val="0"/>
        </w:numPr>
        <w:kinsoku/>
        <w:wordWrap/>
        <w:overflowPunct/>
        <w:topLinePunct w:val="0"/>
        <w:autoSpaceDE/>
        <w:autoSpaceDN/>
        <w:bidi w:val="0"/>
        <w:adjustRightInd w:val="0"/>
        <w:snapToGrid/>
        <w:spacing w:before="156" w:after="156" w:line="240" w:lineRule="auto"/>
        <w:ind w:left="425"/>
        <w:jc w:val="both"/>
        <w:textAlignment w:val="auto"/>
        <w:rPr>
          <w:rFonts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b）依据安全台账信息，应定期检查工业互联网安全漏洞平台披露的漏洞信息，如漏洞描述关联设备相关信息，应及时采取缓解措施。</w:t>
      </w:r>
    </w:p>
    <w:p>
      <w:pPr>
        <w:keepNext w:val="0"/>
        <w:keepLines w:val="0"/>
        <w:pageBreakBefore w:val="0"/>
        <w:widowControl w:val="0"/>
        <w:numPr>
          <w:ilvl w:val="0"/>
          <w:numId w:val="0"/>
        </w:numPr>
        <w:kinsoku/>
        <w:wordWrap/>
        <w:overflowPunct/>
        <w:topLinePunct w:val="0"/>
        <w:autoSpaceDE/>
        <w:autoSpaceDN/>
        <w:bidi w:val="0"/>
        <w:adjustRightInd w:val="0"/>
        <w:snapToGrid/>
        <w:spacing w:before="156" w:after="156" w:line="240" w:lineRule="auto"/>
        <w:ind w:left="425"/>
        <w:jc w:val="both"/>
        <w:textAlignment w:val="auto"/>
        <w:rPr>
          <w:rFonts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c）设备固件升级前</w:t>
      </w:r>
      <w:r>
        <w:rPr>
          <w:rFonts w:hint="eastAsia" w:ascii="宋体" w:hAnsi="Times New Roman" w:cs="Times New Roman"/>
          <w:sz w:val="21"/>
          <w:szCs w:val="24"/>
          <w:lang w:val="en-US" w:eastAsia="zh-CN" w:bidi="ar-SA"/>
        </w:rPr>
        <w:t>应</w:t>
      </w:r>
      <w:r>
        <w:rPr>
          <w:rFonts w:hint="eastAsia" w:ascii="宋体" w:hAnsi="Times New Roman" w:eastAsia="宋体" w:cs="Times New Roman"/>
          <w:sz w:val="21"/>
          <w:szCs w:val="24"/>
          <w:lang w:val="en-US" w:eastAsia="zh-CN" w:bidi="ar-SA"/>
        </w:rPr>
        <w:t>利用固件安全检测工具动态扫描漏洞后门，提前发现越权执行、缓冲区溢出、远程命令执行、密钥泄露、隐藏后门、配置不当等各种安全隐患。</w:t>
      </w:r>
    </w:p>
    <w:p>
      <w:pPr>
        <w:pStyle w:val="97"/>
        <w:spacing w:before="156" w:after="156"/>
        <w:ind w:left="0" w:firstLine="0"/>
        <w:rPr>
          <w:szCs w:val="24"/>
        </w:rPr>
      </w:pPr>
      <w:bookmarkStart w:id="142" w:name="_Toc30653"/>
      <w:bookmarkStart w:id="143" w:name="_Toc24766"/>
      <w:r>
        <w:rPr>
          <w:rFonts w:hint="eastAsia"/>
          <w:szCs w:val="24"/>
        </w:rPr>
        <w:t>生产控制软件安全要求</w:t>
      </w:r>
      <w:bookmarkEnd w:id="142"/>
      <w:bookmarkEnd w:id="143"/>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425"/>
        <w:jc w:val="both"/>
        <w:textAlignment w:val="auto"/>
        <w:rPr>
          <w:rFonts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a）</w:t>
      </w:r>
      <w:r>
        <w:rPr>
          <w:rFonts w:hint="eastAsia" w:ascii="宋体" w:hAnsi="Times New Roman" w:eastAsia="宋体" w:cs="Times New Roman"/>
          <w:sz w:val="21"/>
          <w:szCs w:val="24"/>
          <w:lang w:val="en-US" w:eastAsia="zh-CN" w:bidi="ar-SA"/>
        </w:rPr>
        <w:tab/>
      </w:r>
      <w:r>
        <w:rPr>
          <w:rFonts w:hint="eastAsia" w:ascii="宋体" w:hAnsi="Times New Roman" w:eastAsia="宋体" w:cs="Times New Roman"/>
          <w:sz w:val="21"/>
          <w:szCs w:val="24"/>
          <w:lang w:val="en-US" w:eastAsia="zh-CN" w:bidi="ar-SA"/>
        </w:rPr>
        <w:t>应当在保证生产控制软件可靠、稳定运行的基础上，提高生产控制软件自身的安全防护能力；</w:t>
      </w:r>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425"/>
        <w:jc w:val="both"/>
        <w:textAlignment w:val="auto"/>
        <w:rPr>
          <w:rFonts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b）</w:t>
      </w:r>
      <w:r>
        <w:rPr>
          <w:rFonts w:hint="eastAsia" w:ascii="宋体" w:hAnsi="Times New Roman" w:eastAsia="宋体" w:cs="Times New Roman"/>
          <w:sz w:val="21"/>
          <w:szCs w:val="24"/>
          <w:lang w:val="en-US" w:eastAsia="zh-CN" w:bidi="ar-SA"/>
        </w:rPr>
        <w:tab/>
      </w:r>
      <w:r>
        <w:rPr>
          <w:rFonts w:hint="eastAsia" w:ascii="宋体" w:hAnsi="Times New Roman" w:eastAsia="宋体" w:cs="Times New Roman"/>
          <w:sz w:val="21"/>
          <w:szCs w:val="24"/>
          <w:lang w:val="en-US" w:eastAsia="zh-CN" w:bidi="ar-SA"/>
        </w:rPr>
        <w:t>应当具备容错机制，在发生单点故障时，应当能继续提供生产控制功能。</w:t>
      </w:r>
    </w:p>
    <w:p>
      <w:pPr>
        <w:pStyle w:val="97"/>
        <w:spacing w:before="156" w:after="156"/>
        <w:ind w:left="0" w:firstLine="0"/>
        <w:rPr>
          <w:szCs w:val="24"/>
        </w:rPr>
      </w:pPr>
      <w:bookmarkStart w:id="144" w:name="_Toc4977"/>
      <w:bookmarkStart w:id="145" w:name="_Toc27230"/>
      <w:r>
        <w:rPr>
          <w:rFonts w:hint="eastAsia"/>
          <w:szCs w:val="24"/>
        </w:rPr>
        <w:t>本地部署平台软件安全要求</w:t>
      </w:r>
      <w:bookmarkEnd w:id="144"/>
      <w:bookmarkEnd w:id="145"/>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a）</w:t>
      </w:r>
      <w:r>
        <w:rPr>
          <w:rFonts w:hint="eastAsia" w:ascii="宋体" w:hAnsi="Times New Roman" w:eastAsia="宋体" w:cs="Times New Roman"/>
          <w:sz w:val="21"/>
          <w:szCs w:val="24"/>
          <w:lang w:val="en-US" w:eastAsia="zh-CN" w:bidi="ar-SA"/>
        </w:rPr>
        <w:tab/>
      </w:r>
      <w:r>
        <w:rPr>
          <w:rFonts w:hint="eastAsia" w:ascii="宋体" w:hAnsi="Times New Roman" w:eastAsia="宋体" w:cs="Times New Roman"/>
          <w:sz w:val="21"/>
          <w:szCs w:val="24"/>
          <w:lang w:val="en-US" w:eastAsia="zh-CN" w:bidi="ar-SA"/>
        </w:rPr>
        <w:t>应当在平台内部区分不同模块的重要程度，针对平台内部核心功能模块，应采用审核或白名单机制，只允许审核通过的设备访问核心功能模块；针对平台内部对外提供服务的功能模块，应当具备注册机制，掌握设备接入情况，可以在发生异常情况时，及时拒绝异常设备接入；</w:t>
      </w:r>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b）</w:t>
      </w:r>
      <w:r>
        <w:rPr>
          <w:rFonts w:hint="eastAsia" w:ascii="宋体" w:hAnsi="Times New Roman" w:eastAsia="宋体" w:cs="Times New Roman"/>
          <w:sz w:val="21"/>
          <w:szCs w:val="24"/>
          <w:lang w:val="en-US" w:eastAsia="zh-CN" w:bidi="ar-SA"/>
        </w:rPr>
        <w:tab/>
      </w:r>
      <w:r>
        <w:rPr>
          <w:rFonts w:hint="eastAsia" w:ascii="宋体" w:hAnsi="Times New Roman" w:eastAsia="宋体" w:cs="Times New Roman"/>
          <w:sz w:val="21"/>
          <w:szCs w:val="24"/>
          <w:lang w:val="en-US" w:eastAsia="zh-CN" w:bidi="ar-SA"/>
        </w:rPr>
        <w:t>应当采取措施保障虚拟机安全，包括虚拟机隔离，实时监控虚拟机资源使用情况等；</w:t>
      </w:r>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850" w:hanging="425"/>
        <w:jc w:val="both"/>
        <w:textAlignment w:val="auto"/>
        <w:rPr>
          <w:rFonts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c）</w:t>
      </w:r>
      <w:r>
        <w:rPr>
          <w:rFonts w:hint="eastAsia" w:ascii="宋体" w:hAnsi="Times New Roman" w:eastAsia="宋体" w:cs="Times New Roman"/>
          <w:sz w:val="21"/>
          <w:szCs w:val="24"/>
          <w:lang w:val="en-US" w:eastAsia="zh-CN" w:bidi="ar-SA"/>
        </w:rPr>
        <w:tab/>
      </w:r>
      <w:r>
        <w:rPr>
          <w:rFonts w:hint="eastAsia" w:ascii="宋体" w:hAnsi="Times New Roman" w:eastAsia="宋体" w:cs="Times New Roman"/>
          <w:sz w:val="21"/>
          <w:szCs w:val="24"/>
          <w:lang w:val="en-US" w:eastAsia="zh-CN" w:bidi="ar-SA"/>
        </w:rPr>
        <w:t>应当具备安全态势感知和呈现能力，可以对平台内部及工业APP实现安全管控。</w:t>
      </w:r>
    </w:p>
    <w:p>
      <w:pPr>
        <w:pStyle w:val="97"/>
        <w:spacing w:before="156" w:after="156"/>
        <w:ind w:left="0" w:firstLine="0"/>
        <w:rPr>
          <w:szCs w:val="24"/>
        </w:rPr>
      </w:pPr>
      <w:bookmarkStart w:id="146" w:name="_Toc32180"/>
      <w:bookmarkStart w:id="147" w:name="_Toc29105"/>
      <w:r>
        <w:rPr>
          <w:rFonts w:hint="eastAsia"/>
          <w:szCs w:val="24"/>
        </w:rPr>
        <w:t>第三方平台软件安全要求</w:t>
      </w:r>
      <w:bookmarkEnd w:id="146"/>
      <w:bookmarkEnd w:id="147"/>
    </w:p>
    <w:p>
      <w:pPr>
        <w:pStyle w:val="59"/>
        <w:ind w:firstLine="420"/>
        <w:rPr>
          <w:szCs w:val="24"/>
        </w:rPr>
      </w:pPr>
      <w:r>
        <w:rPr>
          <w:rFonts w:hint="eastAsia"/>
          <w:szCs w:val="24"/>
        </w:rPr>
        <w:t>a）</w:t>
      </w:r>
      <w:r>
        <w:rPr>
          <w:rFonts w:hint="eastAsia"/>
          <w:szCs w:val="24"/>
        </w:rPr>
        <w:tab/>
      </w:r>
      <w:r>
        <w:rPr>
          <w:rFonts w:hint="eastAsia"/>
          <w:szCs w:val="24"/>
        </w:rPr>
        <w:t>应当具备入侵检测能力，能够及时阻断来自第三方平台的安全入侵，防止攻击者进入系统；</w:t>
      </w:r>
    </w:p>
    <w:p>
      <w:pPr>
        <w:pStyle w:val="59"/>
        <w:ind w:firstLine="420"/>
        <w:rPr>
          <w:szCs w:val="24"/>
        </w:rPr>
      </w:pPr>
      <w:r>
        <w:rPr>
          <w:rFonts w:hint="eastAsia"/>
          <w:szCs w:val="24"/>
        </w:rPr>
        <w:t>b）</w:t>
      </w:r>
      <w:r>
        <w:rPr>
          <w:rFonts w:hint="eastAsia"/>
          <w:szCs w:val="24"/>
        </w:rPr>
        <w:tab/>
      </w:r>
      <w:r>
        <w:rPr>
          <w:rFonts w:hint="eastAsia"/>
          <w:szCs w:val="24"/>
        </w:rPr>
        <w:t>应当具备重要数据的监测能力，当重要数据进入第三方平台时，系统能记录数据的流向并给出风险提示。</w:t>
      </w:r>
    </w:p>
    <w:p>
      <w:pPr>
        <w:pStyle w:val="97"/>
        <w:spacing w:before="156" w:after="156"/>
        <w:ind w:left="0" w:firstLine="0"/>
        <w:rPr>
          <w:szCs w:val="24"/>
        </w:rPr>
      </w:pPr>
      <w:bookmarkStart w:id="148" w:name="_Toc3652"/>
      <w:bookmarkStart w:id="149" w:name="_Toc14857"/>
      <w:r>
        <w:rPr>
          <w:rFonts w:hint="eastAsia"/>
          <w:szCs w:val="24"/>
        </w:rPr>
        <w:t>工业APP安全要求</w:t>
      </w:r>
      <w:bookmarkEnd w:id="148"/>
      <w:bookmarkEnd w:id="149"/>
    </w:p>
    <w:p>
      <w:pPr>
        <w:keepNext w:val="0"/>
        <w:keepLines w:val="0"/>
        <w:pageBreakBefore w:val="0"/>
        <w:numPr>
          <w:ilvl w:val="0"/>
          <w:numId w:val="0"/>
        </w:numPr>
        <w:kinsoku/>
        <w:wordWrap/>
        <w:overflowPunct/>
        <w:topLinePunct w:val="0"/>
        <w:autoSpaceDE/>
        <w:autoSpaceDN/>
        <w:bidi w:val="0"/>
        <w:snapToGrid/>
        <w:spacing w:line="240" w:lineRule="auto"/>
        <w:ind w:left="850" w:hanging="425"/>
        <w:jc w:val="both"/>
        <w:textAlignment w:val="auto"/>
        <w:rPr>
          <w:rFonts w:ascii="宋体" w:hAnsi="Times New Roman" w:eastAsia="宋体" w:cs="Times New Roman"/>
          <w:sz w:val="21"/>
          <w:szCs w:val="24"/>
          <w:lang w:val="en-US" w:eastAsia="zh-CN" w:bidi="ar-SA"/>
        </w:rPr>
      </w:pPr>
      <w:r>
        <w:rPr>
          <w:rFonts w:hint="eastAsia" w:ascii="宋体" w:hAnsi="Times New Roman" w:eastAsia="宋体" w:cs="Times New Roman"/>
          <w:sz w:val="21"/>
          <w:szCs w:val="24"/>
          <w:lang w:val="en-US" w:eastAsia="zh-CN" w:bidi="ar-SA"/>
        </w:rPr>
        <w:t>a）</w:t>
      </w:r>
      <w:r>
        <w:rPr>
          <w:rFonts w:hint="eastAsia" w:ascii="宋体" w:hAnsi="Times New Roman" w:eastAsia="宋体" w:cs="Times New Roman"/>
          <w:sz w:val="21"/>
          <w:szCs w:val="24"/>
          <w:lang w:val="en-US" w:eastAsia="zh-CN" w:bidi="ar-SA"/>
        </w:rPr>
        <w:tab/>
      </w:r>
      <w:r>
        <w:rPr>
          <w:rFonts w:hint="eastAsia" w:ascii="宋体" w:hAnsi="Times New Roman" w:eastAsia="宋体" w:cs="Times New Roman"/>
          <w:sz w:val="21"/>
          <w:szCs w:val="24"/>
          <w:lang w:val="en-US" w:eastAsia="zh-CN" w:bidi="ar-SA"/>
        </w:rPr>
        <w:t>应当在部署工业APP之前，检测工业APP的潜在安全漏洞，尽量减小安全隐患；</w:t>
      </w:r>
    </w:p>
    <w:p>
      <w:pPr>
        <w:keepNext w:val="0"/>
        <w:keepLines w:val="0"/>
        <w:pageBreakBefore w:val="0"/>
        <w:numPr>
          <w:ilvl w:val="0"/>
          <w:numId w:val="0"/>
        </w:numPr>
        <w:kinsoku/>
        <w:wordWrap/>
        <w:overflowPunct/>
        <w:topLinePunct w:val="0"/>
        <w:autoSpaceDE/>
        <w:autoSpaceDN/>
        <w:bidi w:val="0"/>
        <w:snapToGrid/>
        <w:spacing w:line="240" w:lineRule="auto"/>
        <w:ind w:left="850" w:hanging="425"/>
        <w:jc w:val="both"/>
        <w:textAlignment w:val="auto"/>
        <w:rPr>
          <w:rFonts w:hint="eastAsia"/>
        </w:rPr>
      </w:pPr>
      <w:r>
        <w:rPr>
          <w:rFonts w:hint="eastAsia" w:ascii="宋体" w:hAnsi="Times New Roman" w:eastAsia="宋体" w:cs="Times New Roman"/>
          <w:sz w:val="21"/>
          <w:szCs w:val="24"/>
          <w:lang w:val="en-US" w:eastAsia="zh-CN" w:bidi="ar-SA"/>
        </w:rPr>
        <w:t>b）</w:t>
      </w:r>
      <w:r>
        <w:rPr>
          <w:rFonts w:hint="eastAsia" w:ascii="宋体" w:hAnsi="Times New Roman" w:eastAsia="宋体" w:cs="Times New Roman"/>
          <w:sz w:val="21"/>
          <w:szCs w:val="24"/>
          <w:lang w:val="en-US" w:eastAsia="zh-CN" w:bidi="ar-SA"/>
        </w:rPr>
        <w:tab/>
      </w:r>
      <w:r>
        <w:rPr>
          <w:rFonts w:hint="eastAsia" w:ascii="宋体" w:hAnsi="Times New Roman" w:eastAsia="宋体" w:cs="Times New Roman"/>
          <w:sz w:val="21"/>
          <w:szCs w:val="24"/>
          <w:lang w:val="en-US" w:eastAsia="zh-CN" w:bidi="ar-SA"/>
        </w:rPr>
        <w:t>应当具备容错机制，在发生单点故障时可继续提供基本功能。</w:t>
      </w:r>
    </w:p>
    <w:p>
      <w:pPr>
        <w:pStyle w:val="68"/>
        <w:spacing w:before="156" w:after="156"/>
      </w:pPr>
      <w:bookmarkStart w:id="150" w:name="_Toc28758"/>
      <w:r>
        <w:rPr>
          <w:rFonts w:hint="eastAsia"/>
        </w:rPr>
        <w:t>网络安全管理要求</w:t>
      </w:r>
      <w:bookmarkEnd w:id="150"/>
    </w:p>
    <w:p>
      <w:pPr>
        <w:pStyle w:val="97"/>
        <w:spacing w:before="156" w:after="156"/>
      </w:pPr>
      <w:bookmarkStart w:id="151" w:name="_Toc29813"/>
      <w:r>
        <w:rPr>
          <w:rFonts w:hint="eastAsia"/>
        </w:rPr>
        <w:t>安全策略和管理制度</w:t>
      </w:r>
      <w:bookmarkEnd w:id="151"/>
    </w:p>
    <w:p>
      <w:pPr>
        <w:pStyle w:val="59"/>
        <w:ind w:firstLine="420"/>
      </w:pPr>
      <w:r>
        <w:rPr>
          <w:rFonts w:hint="eastAsia"/>
        </w:rPr>
        <w:t>除满足基本防护要求之外，还应符合以下要求：</w:t>
      </w:r>
    </w:p>
    <w:p>
      <w:pPr>
        <w:pStyle w:val="59"/>
        <w:ind w:firstLine="420"/>
      </w:pPr>
      <w:r>
        <w:rPr>
          <w:rFonts w:hint="eastAsia"/>
        </w:rPr>
        <w:t>应形成由安全策略、管理制度、操作规程、记录表单等构成的全面的安全管理制度体系。</w:t>
      </w:r>
    </w:p>
    <w:p>
      <w:pPr>
        <w:pStyle w:val="97"/>
        <w:spacing w:before="156" w:after="156"/>
      </w:pPr>
      <w:bookmarkStart w:id="152" w:name="_Toc13317"/>
      <w:r>
        <w:rPr>
          <w:rFonts w:hint="eastAsia"/>
        </w:rPr>
        <w:t>安全管理机构和人员要求</w:t>
      </w:r>
      <w:bookmarkEnd w:id="152"/>
    </w:p>
    <w:p>
      <w:pPr>
        <w:pStyle w:val="59"/>
        <w:ind w:firstLine="420"/>
      </w:pPr>
      <w:r>
        <w:rPr>
          <w:rFonts w:hint="eastAsia"/>
        </w:rPr>
        <w:t>除满足6.1.6.2的要求之外，还应符合以下要求：</w:t>
      </w:r>
    </w:p>
    <w:p>
      <w:pPr>
        <w:pStyle w:val="101"/>
        <w:spacing w:before="156" w:after="156"/>
      </w:pPr>
      <w:r>
        <w:rPr>
          <w:rFonts w:hint="eastAsia"/>
        </w:rPr>
        <w:t>安全管理机构</w:t>
      </w:r>
    </w:p>
    <w:p>
      <w:pPr>
        <w:pStyle w:val="59"/>
        <w:ind w:firstLine="420"/>
      </w:pPr>
      <w:r>
        <w:rPr>
          <w:rFonts w:hint="eastAsia"/>
        </w:rPr>
        <w:t>同6.1.6.2.1的要求。</w:t>
      </w:r>
    </w:p>
    <w:p>
      <w:pPr>
        <w:pStyle w:val="101"/>
        <w:spacing w:before="156" w:after="156"/>
      </w:pPr>
      <w:r>
        <w:rPr>
          <w:rFonts w:hint="eastAsia"/>
        </w:rPr>
        <w:t>人员要求</w:t>
      </w:r>
    </w:p>
    <w:p>
      <w:pPr>
        <w:pStyle w:val="177"/>
        <w:numPr>
          <w:ilvl w:val="0"/>
          <w:numId w:val="76"/>
        </w:numPr>
      </w:pPr>
      <w:r>
        <w:rPr>
          <w:rFonts w:hint="eastAsia"/>
        </w:rPr>
        <w:t>应成立指导和管理安全工作的委员会或领导小组，其最高领导由单位主管领导委任或授权；</w:t>
      </w:r>
    </w:p>
    <w:p>
      <w:pPr>
        <w:pStyle w:val="177"/>
        <w:numPr>
          <w:ilvl w:val="0"/>
          <w:numId w:val="76"/>
        </w:numPr>
      </w:pPr>
      <w:r>
        <w:rPr>
          <w:rFonts w:hint="eastAsia"/>
        </w:rPr>
        <w:t>应配备专职安全管理员，不可兼任，关键事务岗位应配备多人共同管理；</w:t>
      </w:r>
    </w:p>
    <w:p>
      <w:pPr>
        <w:pStyle w:val="177"/>
        <w:numPr>
          <w:ilvl w:val="0"/>
          <w:numId w:val="76"/>
        </w:numPr>
      </w:pPr>
      <w:r>
        <w:rPr>
          <w:rFonts w:hint="eastAsia"/>
        </w:rPr>
        <w:t>应定期审查审批事项，及时更新需授权和审批的项目、审批部门和审批人等信息；</w:t>
      </w:r>
    </w:p>
    <w:p>
      <w:pPr>
        <w:pStyle w:val="177"/>
        <w:numPr>
          <w:ilvl w:val="0"/>
          <w:numId w:val="76"/>
        </w:numPr>
      </w:pPr>
      <w:r>
        <w:rPr>
          <w:rFonts w:hint="eastAsia"/>
        </w:rPr>
        <w:t>应定期全面开展安全检查，检查内容包括现有安全技术措施的有效性、安全配置与安全策略的一致性、安全管理制度的执行情况等；</w:t>
      </w:r>
    </w:p>
    <w:p>
      <w:pPr>
        <w:pStyle w:val="177"/>
        <w:numPr>
          <w:ilvl w:val="0"/>
          <w:numId w:val="76"/>
        </w:numPr>
      </w:pPr>
      <w:r>
        <w:rPr>
          <w:rFonts w:hint="eastAsia"/>
        </w:rPr>
        <w:t>应确定安全检查内容实施安全检查，汇总安全检查数据，形成安全检查报告，并对安全检查结果进行通报；</w:t>
      </w:r>
    </w:p>
    <w:p>
      <w:pPr>
        <w:pStyle w:val="177"/>
        <w:numPr>
          <w:ilvl w:val="0"/>
          <w:numId w:val="76"/>
        </w:numPr>
      </w:pPr>
      <w:r>
        <w:rPr>
          <w:rFonts w:hint="eastAsia"/>
        </w:rPr>
        <w:t>应从内部工作一年以上的人员中选拔从事关键岗位的人员；</w:t>
      </w:r>
    </w:p>
    <w:p>
      <w:pPr>
        <w:pStyle w:val="177"/>
        <w:numPr>
          <w:ilvl w:val="0"/>
          <w:numId w:val="76"/>
        </w:numPr>
      </w:pPr>
      <w:r>
        <w:rPr>
          <w:rFonts w:hint="eastAsia"/>
        </w:rPr>
        <w:t>应对被录用人员具备的技术技能进行考核，应与被录用人员签订保密协议，与关键岗位人员签订岗位责任协议；</w:t>
      </w:r>
    </w:p>
    <w:p>
      <w:pPr>
        <w:pStyle w:val="177"/>
        <w:numPr>
          <w:ilvl w:val="0"/>
          <w:numId w:val="76"/>
        </w:numPr>
      </w:pPr>
      <w:r>
        <w:rPr>
          <w:rFonts w:hint="eastAsia"/>
        </w:rPr>
        <w:t>人员离岗前，应办理正式的调离手续，并</w:t>
      </w:r>
      <w:r>
        <w:rPr>
          <w:rFonts w:hint="eastAsia"/>
          <w:lang w:val="en-US" w:eastAsia="zh-CN"/>
        </w:rPr>
        <w:t>签署</w:t>
      </w:r>
      <w:r>
        <w:rPr>
          <w:rFonts w:hint="eastAsia"/>
        </w:rPr>
        <w:t>调离后的保密承诺；</w:t>
      </w:r>
    </w:p>
    <w:p>
      <w:pPr>
        <w:pStyle w:val="177"/>
        <w:numPr>
          <w:ilvl w:val="0"/>
          <w:numId w:val="76"/>
        </w:numPr>
      </w:pPr>
      <w:r>
        <w:rPr>
          <w:rFonts w:hint="eastAsia"/>
        </w:rPr>
        <w:t>应针对不同岗位开展针对性网络安全相关培训，应定期对相关人员进行技能考核；</w:t>
      </w:r>
    </w:p>
    <w:p>
      <w:pPr>
        <w:pStyle w:val="177"/>
        <w:numPr>
          <w:ilvl w:val="0"/>
          <w:numId w:val="76"/>
        </w:numPr>
      </w:pPr>
      <w:r>
        <w:rPr>
          <w:rFonts w:hint="eastAsia"/>
        </w:rPr>
        <w:t>接触系统的外部人员应签署保密协议，严禁非授权操作和获取敏感信息，严禁访问关键区域或系统。</w:t>
      </w:r>
    </w:p>
    <w:p>
      <w:pPr>
        <w:pStyle w:val="97"/>
        <w:spacing w:before="156" w:after="156"/>
      </w:pPr>
      <w:bookmarkStart w:id="153" w:name="_Toc28858"/>
      <w:r>
        <w:rPr>
          <w:rFonts w:hint="eastAsia"/>
        </w:rPr>
        <w:t>安全建设管理要求</w:t>
      </w:r>
      <w:bookmarkEnd w:id="153"/>
    </w:p>
    <w:p>
      <w:pPr>
        <w:pStyle w:val="59"/>
        <w:ind w:firstLine="420"/>
      </w:pPr>
      <w:r>
        <w:rPr>
          <w:rFonts w:hint="eastAsia"/>
        </w:rPr>
        <w:t>除满足基本防护要求之外，还应符合以下要求：</w:t>
      </w:r>
    </w:p>
    <w:p>
      <w:pPr>
        <w:pStyle w:val="101"/>
        <w:spacing w:before="156" w:after="156"/>
      </w:pPr>
      <w:r>
        <w:rPr>
          <w:rFonts w:hint="eastAsia"/>
        </w:rPr>
        <w:t>定级</w:t>
      </w:r>
    </w:p>
    <w:p>
      <w:pPr>
        <w:pStyle w:val="59"/>
        <w:ind w:firstLine="420"/>
      </w:pPr>
      <w:r>
        <w:rPr>
          <w:rFonts w:hint="eastAsia"/>
        </w:rPr>
        <w:t>同6.1.6.3.1</w:t>
      </w:r>
      <w:r>
        <w:rPr>
          <w:rFonts w:hint="eastAsia"/>
          <w:lang w:val="en-US" w:eastAsia="zh-CN"/>
        </w:rPr>
        <w:t>的</w:t>
      </w:r>
      <w:r>
        <w:rPr>
          <w:rFonts w:hint="eastAsia"/>
        </w:rPr>
        <w:t>要求。</w:t>
      </w:r>
    </w:p>
    <w:p>
      <w:pPr>
        <w:pStyle w:val="101"/>
        <w:spacing w:before="156" w:after="156"/>
      </w:pPr>
      <w:r>
        <w:rPr>
          <w:rFonts w:hint="eastAsia"/>
        </w:rPr>
        <w:t>安全方案设计</w:t>
      </w:r>
    </w:p>
    <w:p>
      <w:pPr>
        <w:pStyle w:val="177"/>
        <w:numPr>
          <w:ilvl w:val="0"/>
          <w:numId w:val="77"/>
        </w:numPr>
      </w:pPr>
      <w:r>
        <w:rPr>
          <w:rFonts w:hint="eastAsia"/>
        </w:rPr>
        <w:t>应根据安全防护对象的安全防护需求及与其他防护对象的关系进行安全整体规划和安全方案设计，设计内容应包含密码相关内容，并形成配套文件；</w:t>
      </w:r>
    </w:p>
    <w:p>
      <w:pPr>
        <w:pStyle w:val="177"/>
        <w:numPr>
          <w:ilvl w:val="0"/>
          <w:numId w:val="77"/>
        </w:numPr>
      </w:pPr>
      <w:r>
        <w:rPr>
          <w:rFonts w:hint="eastAsia"/>
        </w:rPr>
        <w:t>应组织相关部门和有关安全专家对安全整体规划及其配套文件的合理性和正确性进行论证和审定，经过批准后才能正式实施。</w:t>
      </w:r>
    </w:p>
    <w:p>
      <w:pPr>
        <w:pStyle w:val="101"/>
        <w:spacing w:before="156" w:after="156"/>
      </w:pPr>
      <w:r>
        <w:rPr>
          <w:rFonts w:hint="eastAsia"/>
        </w:rPr>
        <w:t>产品采购和使用</w:t>
      </w:r>
    </w:p>
    <w:p>
      <w:pPr>
        <w:pStyle w:val="177"/>
        <w:numPr>
          <w:ilvl w:val="0"/>
          <w:numId w:val="78"/>
        </w:numPr>
      </w:pPr>
      <w:r>
        <w:rPr>
          <w:rFonts w:hint="eastAsia"/>
        </w:rPr>
        <w:t>应预先对产品进行选型测试，确定产品候选范围，并定期审定和更新候选产品名单；</w:t>
      </w:r>
    </w:p>
    <w:p>
      <w:pPr>
        <w:pStyle w:val="177"/>
        <w:numPr>
          <w:ilvl w:val="0"/>
          <w:numId w:val="78"/>
        </w:numPr>
      </w:pPr>
      <w:r>
        <w:rPr>
          <w:rFonts w:hint="eastAsia"/>
        </w:rPr>
        <w:t>应对重要部位的产品委托专业测评单位进行专项测试，根据测试结果选用产品。</w:t>
      </w:r>
    </w:p>
    <w:p>
      <w:pPr>
        <w:pStyle w:val="101"/>
        <w:spacing w:before="156" w:after="156"/>
      </w:pPr>
      <w:r>
        <w:rPr>
          <w:rFonts w:hint="eastAsia"/>
        </w:rPr>
        <w:t>软件开发</w:t>
      </w:r>
    </w:p>
    <w:p>
      <w:pPr>
        <w:pStyle w:val="177"/>
        <w:numPr>
          <w:ilvl w:val="0"/>
          <w:numId w:val="79"/>
        </w:numPr>
      </w:pPr>
      <w:r>
        <w:rPr>
          <w:rFonts w:hint="eastAsia"/>
        </w:rPr>
        <w:t>应制定软件开发管理制度，明确说明开发过程的控制方法和人员行为准则；</w:t>
      </w:r>
    </w:p>
    <w:p>
      <w:pPr>
        <w:pStyle w:val="177"/>
        <w:numPr>
          <w:ilvl w:val="0"/>
          <w:numId w:val="79"/>
        </w:numPr>
      </w:pPr>
      <w:r>
        <w:rPr>
          <w:rFonts w:hint="eastAsia"/>
        </w:rPr>
        <w:t>应制定代码编写安全规范，要求开发人员参照规范编写代码；</w:t>
      </w:r>
    </w:p>
    <w:p>
      <w:pPr>
        <w:pStyle w:val="177"/>
        <w:numPr>
          <w:ilvl w:val="0"/>
          <w:numId w:val="79"/>
        </w:numPr>
      </w:pPr>
      <w:r>
        <w:rPr>
          <w:rFonts w:hint="eastAsia"/>
        </w:rPr>
        <w:t>应确保具备软件设计的相关文档和使用指南，并对文档使用进行控制；</w:t>
      </w:r>
    </w:p>
    <w:p>
      <w:pPr>
        <w:pStyle w:val="177"/>
        <w:numPr>
          <w:ilvl w:val="0"/>
          <w:numId w:val="79"/>
        </w:numPr>
      </w:pPr>
      <w:r>
        <w:rPr>
          <w:rFonts w:hint="eastAsia"/>
        </w:rPr>
        <w:t>应确保对程序资源库的修改、更新、发布进行授权和批准，并严格进行版本控制；</w:t>
      </w:r>
    </w:p>
    <w:p>
      <w:pPr>
        <w:pStyle w:val="177"/>
        <w:numPr>
          <w:ilvl w:val="0"/>
          <w:numId w:val="79"/>
        </w:numPr>
      </w:pPr>
      <w:r>
        <w:rPr>
          <w:rFonts w:hint="eastAsia"/>
        </w:rPr>
        <w:t>应确保开发人员为专职人员，开发人员的开发活动受到控制、监视和审查；</w:t>
      </w:r>
    </w:p>
    <w:p>
      <w:pPr>
        <w:pStyle w:val="177"/>
        <w:numPr>
          <w:ilvl w:val="0"/>
          <w:numId w:val="79"/>
        </w:numPr>
      </w:pPr>
      <w:r>
        <w:rPr>
          <w:rFonts w:hint="eastAsia"/>
        </w:rPr>
        <w:t>应要求开发单位提供软件源代码，并审查软件中可能存在的后门和隐蔽信道。</w:t>
      </w:r>
    </w:p>
    <w:p>
      <w:pPr>
        <w:pStyle w:val="101"/>
        <w:spacing w:before="156" w:after="156"/>
      </w:pPr>
      <w:r>
        <w:rPr>
          <w:rFonts w:hint="eastAsia"/>
        </w:rPr>
        <w:t>系统交付</w:t>
      </w:r>
    </w:p>
    <w:p>
      <w:pPr>
        <w:pStyle w:val="59"/>
        <w:ind w:firstLine="420"/>
      </w:pPr>
      <w:r>
        <w:rPr>
          <w:rFonts w:hint="eastAsia"/>
        </w:rPr>
        <w:t>安全测试报告应包含密码应用安全性测试相关内容。</w:t>
      </w:r>
    </w:p>
    <w:p>
      <w:pPr>
        <w:pStyle w:val="101"/>
        <w:spacing w:before="156" w:after="156"/>
      </w:pPr>
      <w:r>
        <w:rPr>
          <w:rFonts w:hint="eastAsia"/>
        </w:rPr>
        <w:t>供应链安全</w:t>
      </w:r>
    </w:p>
    <w:p>
      <w:pPr>
        <w:pStyle w:val="177"/>
        <w:numPr>
          <w:ilvl w:val="0"/>
          <w:numId w:val="80"/>
        </w:numPr>
      </w:pPr>
      <w:r>
        <w:rPr>
          <w:rFonts w:hint="eastAsia"/>
        </w:rPr>
        <w:t>应定期评审和审核服务供应商提供的服务，并对其变更服务内容加以控制；</w:t>
      </w:r>
    </w:p>
    <w:p>
      <w:pPr>
        <w:pStyle w:val="177"/>
        <w:numPr>
          <w:ilvl w:val="0"/>
          <w:numId w:val="80"/>
        </w:numPr>
      </w:pPr>
      <w:r>
        <w:rPr>
          <w:rFonts w:hint="eastAsia"/>
        </w:rPr>
        <w:t>应与选定的服务供应商签署保密协议，要求其不得泄露客户数据和业务系统的相关重要信息；</w:t>
      </w:r>
    </w:p>
    <w:p>
      <w:pPr>
        <w:pStyle w:val="177"/>
        <w:numPr>
          <w:ilvl w:val="0"/>
          <w:numId w:val="80"/>
        </w:numPr>
      </w:pPr>
      <w:r>
        <w:rPr>
          <w:rFonts w:hint="eastAsia"/>
        </w:rPr>
        <w:t>应保证供应商的重要变更及时传达到客户，并评估变更带来的安全风险，采取有关措施对风险进行控制；</w:t>
      </w:r>
    </w:p>
    <w:p>
      <w:pPr>
        <w:pStyle w:val="177"/>
        <w:numPr>
          <w:ilvl w:val="0"/>
          <w:numId w:val="80"/>
        </w:numPr>
      </w:pPr>
      <w:r>
        <w:rPr>
          <w:rFonts w:hint="eastAsia"/>
        </w:rPr>
        <w:t>应将网络安全防护设施建设、运行维护，日常网络安全管理，网络安全检查，网络安全应急演练等费用纳入部门年度预算，保证网络安全经费投入。</w:t>
      </w:r>
    </w:p>
    <w:p>
      <w:pPr>
        <w:pStyle w:val="97"/>
        <w:spacing w:before="156" w:after="156"/>
      </w:pPr>
      <w:bookmarkStart w:id="154" w:name="_Toc27355"/>
      <w:r>
        <w:rPr>
          <w:rFonts w:hint="eastAsia"/>
        </w:rPr>
        <w:t>安全运维管理要求</w:t>
      </w:r>
      <w:bookmarkEnd w:id="154"/>
    </w:p>
    <w:p>
      <w:pPr>
        <w:pStyle w:val="59"/>
        <w:ind w:firstLine="420"/>
      </w:pPr>
      <w:r>
        <w:rPr>
          <w:rFonts w:hint="eastAsia"/>
        </w:rPr>
        <w:t>除满足6.1.6.4的要求之外，还应符合以下要求：</w:t>
      </w:r>
    </w:p>
    <w:p>
      <w:pPr>
        <w:pStyle w:val="101"/>
        <w:spacing w:before="156" w:after="156"/>
      </w:pPr>
      <w:r>
        <w:rPr>
          <w:rFonts w:hint="eastAsia"/>
        </w:rPr>
        <w:t>环境管理</w:t>
      </w:r>
    </w:p>
    <w:p>
      <w:pPr>
        <w:pStyle w:val="177"/>
        <w:numPr>
          <w:ilvl w:val="0"/>
          <w:numId w:val="81"/>
        </w:numPr>
      </w:pPr>
      <w:r>
        <w:rPr>
          <w:rFonts w:hint="eastAsia"/>
        </w:rPr>
        <w:t>应对出入人员进行相应级别的授权，对进入重要安全区域的人员和活动</w:t>
      </w:r>
      <w:r>
        <w:rPr>
          <w:rFonts w:hint="eastAsia"/>
          <w:lang w:eastAsia="zh-CN"/>
        </w:rPr>
        <w:t>实时</w:t>
      </w:r>
      <w:r>
        <w:rPr>
          <w:rFonts w:hint="eastAsia"/>
        </w:rPr>
        <w:t>监视等；</w:t>
      </w:r>
    </w:p>
    <w:p>
      <w:pPr>
        <w:pStyle w:val="177"/>
        <w:numPr>
          <w:ilvl w:val="0"/>
          <w:numId w:val="81"/>
        </w:numPr>
      </w:pPr>
      <w:r>
        <w:rPr>
          <w:rFonts w:hint="eastAsia"/>
        </w:rPr>
        <w:t>应加强对工业互联网设备部署环境的保密性管理，包括负责检查和维护的人员调离工作岗位应立即交还相关检查工具和检查维护记录等。</w:t>
      </w:r>
    </w:p>
    <w:p>
      <w:pPr>
        <w:pStyle w:val="101"/>
        <w:spacing w:before="156" w:after="156"/>
      </w:pPr>
      <w:r>
        <w:rPr>
          <w:rFonts w:hint="eastAsia"/>
        </w:rPr>
        <w:t>资产管理</w:t>
      </w:r>
    </w:p>
    <w:p>
      <w:pPr>
        <w:pStyle w:val="177"/>
        <w:numPr>
          <w:ilvl w:val="0"/>
          <w:numId w:val="82"/>
        </w:numPr>
      </w:pPr>
      <w:r>
        <w:rPr>
          <w:rFonts w:hint="eastAsia"/>
        </w:rPr>
        <w:t>应根据资产的重要程度对资产进行标识管理，根据资产的价值选择相应的管理措施；</w:t>
      </w:r>
    </w:p>
    <w:p>
      <w:pPr>
        <w:pStyle w:val="177"/>
        <w:numPr>
          <w:ilvl w:val="0"/>
          <w:numId w:val="82"/>
        </w:numPr>
      </w:pPr>
      <w:r>
        <w:rPr>
          <w:rFonts w:hint="eastAsia"/>
        </w:rPr>
        <w:t>应对信息分类与标识方法明确规定，并对信息的使用、传输和存储等进行规范化管理；</w:t>
      </w:r>
    </w:p>
    <w:p>
      <w:pPr>
        <w:pStyle w:val="177"/>
        <w:numPr>
          <w:ilvl w:val="0"/>
          <w:numId w:val="82"/>
        </w:numPr>
      </w:pPr>
      <w:r>
        <w:rPr>
          <w:rFonts w:hint="eastAsia"/>
        </w:rPr>
        <w:t>应确保信息处理设备必须经过审批才能带离机房或办公地点，含有存储介质的设备带出工作环境时其中重要数据必须加密；</w:t>
      </w:r>
    </w:p>
    <w:p>
      <w:pPr>
        <w:pStyle w:val="177"/>
        <w:numPr>
          <w:ilvl w:val="0"/>
          <w:numId w:val="82"/>
        </w:numPr>
      </w:pPr>
      <w:r>
        <w:rPr>
          <w:rFonts w:hint="eastAsia"/>
        </w:rPr>
        <w:t>含有存储介质的设备在报废或重用前，应进行完全清除或被安全覆盖，确保该设备上的敏感数据和授权软件无法被恢复重用；</w:t>
      </w:r>
    </w:p>
    <w:p>
      <w:pPr>
        <w:pStyle w:val="177"/>
        <w:numPr>
          <w:ilvl w:val="0"/>
          <w:numId w:val="82"/>
        </w:numPr>
      </w:pPr>
      <w:r>
        <w:rPr>
          <w:rFonts w:hint="eastAsia"/>
        </w:rPr>
        <w:t>应建立资产变更的申报和审批程序，依据程序控制所有的变更，记录变更实施过程</w:t>
      </w:r>
      <w:r>
        <w:rPr>
          <w:rFonts w:hint="eastAsia"/>
          <w:lang w:eastAsia="zh-CN"/>
        </w:rPr>
        <w:t>。</w:t>
      </w:r>
    </w:p>
    <w:p>
      <w:pPr>
        <w:pStyle w:val="101"/>
        <w:spacing w:before="156" w:after="156"/>
      </w:pPr>
      <w:r>
        <w:rPr>
          <w:rFonts w:hint="eastAsia"/>
        </w:rPr>
        <w:t>安全审计</w:t>
      </w:r>
    </w:p>
    <w:p>
      <w:pPr>
        <w:pStyle w:val="177"/>
        <w:numPr>
          <w:ilvl w:val="0"/>
          <w:numId w:val="83"/>
        </w:numPr>
      </w:pPr>
      <w:r>
        <w:rPr>
          <w:rFonts w:hint="eastAsia"/>
        </w:rPr>
        <w:t>应能对远程访问企业内部网络的用户行为进行行为审计和数据分析；</w:t>
      </w:r>
    </w:p>
    <w:p>
      <w:pPr>
        <w:pStyle w:val="177"/>
        <w:numPr>
          <w:ilvl w:val="0"/>
          <w:numId w:val="83"/>
        </w:numPr>
      </w:pPr>
      <w:r>
        <w:rPr>
          <w:rFonts w:hint="eastAsia"/>
        </w:rPr>
        <w:t>应对审计进程进行保护，防止未经授权的中断；</w:t>
      </w:r>
    </w:p>
    <w:p>
      <w:pPr>
        <w:pStyle w:val="177"/>
        <w:numPr>
          <w:ilvl w:val="0"/>
          <w:numId w:val="83"/>
        </w:numPr>
      </w:pPr>
      <w:r>
        <w:rPr>
          <w:rFonts w:hint="eastAsia"/>
        </w:rPr>
        <w:t>审计记录的留存时间应不少于6个月。</w:t>
      </w:r>
    </w:p>
    <w:p>
      <w:pPr>
        <w:pStyle w:val="101"/>
        <w:spacing w:before="156" w:after="156"/>
      </w:pPr>
      <w:r>
        <w:rPr>
          <w:rFonts w:hint="eastAsia"/>
        </w:rPr>
        <w:t>配置管理</w:t>
      </w:r>
    </w:p>
    <w:p>
      <w:pPr>
        <w:pStyle w:val="59"/>
        <w:ind w:firstLine="420"/>
      </w:pPr>
      <w:r>
        <w:rPr>
          <w:rFonts w:hint="eastAsia"/>
        </w:rPr>
        <w:t>应将基本配置信息改变纳入变更范畴，实施对配置信息改变的控制，并及时更新基本配置信息库。</w:t>
      </w:r>
    </w:p>
    <w:p>
      <w:pPr>
        <w:pStyle w:val="101"/>
        <w:spacing w:before="156" w:after="156"/>
      </w:pPr>
      <w:r>
        <w:rPr>
          <w:rFonts w:hint="eastAsia"/>
        </w:rPr>
        <w:t>安全事件处置</w:t>
      </w:r>
    </w:p>
    <w:p>
      <w:pPr>
        <w:pStyle w:val="59"/>
        <w:ind w:firstLine="420"/>
      </w:pPr>
      <w:r>
        <w:rPr>
          <w:rFonts w:hint="eastAsia"/>
        </w:rPr>
        <w:t>对造成业务中断和造成信息泄漏的重大安全事件应采用不同的处理程序和报告程序。</w:t>
      </w:r>
    </w:p>
    <w:p>
      <w:pPr>
        <w:pStyle w:val="101"/>
        <w:spacing w:before="156" w:after="156"/>
      </w:pPr>
      <w:r>
        <w:rPr>
          <w:rFonts w:hint="eastAsia"/>
        </w:rPr>
        <w:t>应急工作要求</w:t>
      </w:r>
    </w:p>
    <w:p>
      <w:pPr>
        <w:pStyle w:val="177"/>
        <w:numPr>
          <w:ilvl w:val="0"/>
          <w:numId w:val="84"/>
        </w:numPr>
      </w:pPr>
      <w:r>
        <w:rPr>
          <w:rFonts w:hint="eastAsia"/>
        </w:rPr>
        <w:t>应规定统一的应急预案框架，具体包括启动预案的条件、应急组织构成、应急资源保障、事后教育和培训等内容；</w:t>
      </w:r>
    </w:p>
    <w:p>
      <w:pPr>
        <w:pStyle w:val="177"/>
        <w:numPr>
          <w:ilvl w:val="0"/>
          <w:numId w:val="84"/>
        </w:numPr>
      </w:pPr>
      <w:r>
        <w:rPr>
          <w:rFonts w:hint="eastAsia"/>
        </w:rPr>
        <w:t>应定期开展网络安全应急演练，检验应急预案的可操作性，并结合应急演练结果，对应急预案进行评估和适用性修订；</w:t>
      </w:r>
    </w:p>
    <w:p>
      <w:pPr>
        <w:pStyle w:val="177"/>
        <w:numPr>
          <w:ilvl w:val="0"/>
          <w:numId w:val="84"/>
        </w:numPr>
      </w:pPr>
      <w:r>
        <w:rPr>
          <w:rFonts w:hint="eastAsia"/>
        </w:rPr>
        <w:t>应在与外包运维服务商签订的协议中明确所有相关的安全要求。如可能涉及对敏感信息的访问、处理、存储要求，对基础设施中断服务的应急保障要求等。</w:t>
      </w:r>
    </w:p>
    <w:p>
      <w:pPr>
        <w:pStyle w:val="68"/>
        <w:spacing w:before="156" w:after="156"/>
      </w:pPr>
      <w:bookmarkStart w:id="155" w:name="_Toc17515"/>
      <w:r>
        <w:rPr>
          <w:rFonts w:hint="eastAsia"/>
        </w:rPr>
        <w:t>物理和环境安全要求</w:t>
      </w:r>
      <w:bookmarkEnd w:id="155"/>
    </w:p>
    <w:p>
      <w:pPr>
        <w:pStyle w:val="97"/>
        <w:spacing w:before="156" w:after="156"/>
      </w:pPr>
      <w:bookmarkStart w:id="156" w:name="_Toc5581"/>
      <w:r>
        <w:rPr>
          <w:rFonts w:hint="eastAsia"/>
        </w:rPr>
        <w:t>物理位置选择</w:t>
      </w:r>
      <w:bookmarkEnd w:id="156"/>
    </w:p>
    <w:p>
      <w:pPr>
        <w:pStyle w:val="59"/>
        <w:ind w:firstLine="420"/>
        <w:rPr>
          <w:rFonts w:hint="eastAsia"/>
        </w:rPr>
      </w:pPr>
      <w:r>
        <w:rPr>
          <w:rFonts w:hint="eastAsia"/>
        </w:rPr>
        <w:t>除满足6.1.7.1的要求之外，还应满足：</w:t>
      </w:r>
    </w:p>
    <w:p>
      <w:pPr>
        <w:numPr>
          <w:ilvl w:val="0"/>
          <w:numId w:val="85"/>
        </w:numPr>
        <w:adjustRightInd/>
        <w:spacing w:line="240" w:lineRule="auto"/>
        <w:ind w:left="840" w:hanging="420"/>
        <w:rPr>
          <w:rFonts w:ascii="宋体" w:hAnsi="宋体"/>
          <w:color w:val="000008"/>
          <w:szCs w:val="22"/>
        </w:rPr>
      </w:pPr>
      <w:r>
        <w:rPr>
          <w:rFonts w:hint="eastAsia" w:ascii="宋体" w:hAnsi="宋体"/>
          <w:color w:val="000008"/>
          <w:szCs w:val="22"/>
        </w:rPr>
        <w:t>机房场地不应设在建筑物用水设备的隔壁或下层，否则应加强防水和防潮措施</w:t>
      </w:r>
      <w:r>
        <w:rPr>
          <w:rFonts w:hint="eastAsia" w:ascii="宋体" w:hAnsi="宋体"/>
          <w:color w:val="000008"/>
          <w:szCs w:val="22"/>
          <w:lang w:eastAsia="zh-CN"/>
        </w:rPr>
        <w:t>；</w:t>
      </w:r>
    </w:p>
    <w:p>
      <w:pPr>
        <w:numPr>
          <w:ilvl w:val="0"/>
          <w:numId w:val="85"/>
        </w:numPr>
        <w:adjustRightInd/>
        <w:spacing w:line="240" w:lineRule="auto"/>
        <w:ind w:left="840" w:hanging="420"/>
        <w:rPr>
          <w:rFonts w:hint="eastAsia" w:ascii="宋体" w:hAnsi="宋体"/>
          <w:color w:val="000008"/>
          <w:szCs w:val="22"/>
        </w:rPr>
      </w:pPr>
      <w:r>
        <w:rPr>
          <w:rFonts w:hint="eastAsia" w:ascii="宋体" w:hAnsi="宋体"/>
          <w:color w:val="000008"/>
          <w:szCs w:val="22"/>
        </w:rPr>
        <w:t>确保工业互联网平台服务器及运行关键业务和数据的物理设备位于中国境内</w:t>
      </w:r>
      <w:r>
        <w:rPr>
          <w:rFonts w:hint="eastAsia" w:ascii="宋体" w:hAnsi="宋体"/>
          <w:color w:val="000008"/>
          <w:szCs w:val="22"/>
          <w:lang w:eastAsia="zh-CN"/>
        </w:rPr>
        <w:t>；</w:t>
      </w:r>
    </w:p>
    <w:p>
      <w:pPr>
        <w:numPr>
          <w:ilvl w:val="0"/>
          <w:numId w:val="85"/>
        </w:numPr>
        <w:adjustRightInd/>
        <w:spacing w:line="240" w:lineRule="auto"/>
        <w:ind w:left="840" w:hanging="420"/>
        <w:rPr>
          <w:rFonts w:hint="eastAsia" w:ascii="宋体" w:hAnsi="宋体"/>
          <w:color w:val="000008"/>
          <w:szCs w:val="22"/>
        </w:rPr>
      </w:pPr>
      <w:r>
        <w:rPr>
          <w:rFonts w:hint="eastAsia" w:ascii="宋体" w:hAnsi="宋体"/>
          <w:color w:val="000008"/>
          <w:szCs w:val="22"/>
        </w:rPr>
        <w:t>对于存在爆炸危险的生产车间（装置），主机房、现场控制室、现场机柜室应位于爆炸危险区域外。</w:t>
      </w:r>
    </w:p>
    <w:p>
      <w:pPr>
        <w:pStyle w:val="97"/>
        <w:spacing w:before="156" w:after="156"/>
      </w:pPr>
      <w:bookmarkStart w:id="157" w:name="_Toc9634"/>
      <w:r>
        <w:rPr>
          <w:rFonts w:hint="eastAsia"/>
        </w:rPr>
        <w:t>物理访问控制</w:t>
      </w:r>
      <w:bookmarkEnd w:id="157"/>
    </w:p>
    <w:p>
      <w:pPr>
        <w:numPr>
          <w:ilvl w:val="0"/>
          <w:numId w:val="86"/>
        </w:numPr>
        <w:adjustRightInd/>
        <w:spacing w:line="240" w:lineRule="auto"/>
        <w:ind w:left="840" w:hanging="420"/>
        <w:rPr>
          <w:rFonts w:hint="eastAsia" w:ascii="宋体" w:hAnsi="宋体"/>
          <w:color w:val="000008"/>
          <w:szCs w:val="22"/>
        </w:rPr>
      </w:pPr>
      <w:r>
        <w:rPr>
          <w:rFonts w:hint="eastAsia" w:ascii="宋体" w:hAnsi="宋体"/>
          <w:color w:val="000008"/>
          <w:szCs w:val="22"/>
        </w:rPr>
        <w:t>应在机房和工业设备放置场地出入口安排专人值守或部署电子门禁系统，控制、鉴别和记录进入的人员；</w:t>
      </w:r>
    </w:p>
    <w:p>
      <w:pPr>
        <w:numPr>
          <w:ilvl w:val="0"/>
          <w:numId w:val="86"/>
        </w:numPr>
        <w:adjustRightInd/>
        <w:spacing w:line="240" w:lineRule="auto"/>
        <w:ind w:left="840" w:hanging="420"/>
        <w:rPr>
          <w:rFonts w:hint="eastAsia" w:ascii="宋体" w:hAnsi="宋体"/>
          <w:color w:val="000008"/>
          <w:szCs w:val="22"/>
        </w:rPr>
      </w:pPr>
      <w:r>
        <w:rPr>
          <w:rFonts w:hint="eastAsia" w:ascii="宋体" w:hAnsi="宋体"/>
          <w:color w:val="000008"/>
          <w:szCs w:val="22"/>
        </w:rPr>
        <w:t>应在重要服务器、数据库、工程师站等核心工业互联网软硬件所在区域或工业互联网平台采取视频监控等手段。</w:t>
      </w:r>
    </w:p>
    <w:p>
      <w:pPr>
        <w:numPr>
          <w:ilvl w:val="0"/>
          <w:numId w:val="86"/>
        </w:numPr>
        <w:adjustRightInd/>
        <w:spacing w:line="240" w:lineRule="auto"/>
        <w:ind w:left="840" w:hanging="420"/>
        <w:rPr>
          <w:rFonts w:hint="eastAsia" w:ascii="宋体" w:hAnsi="宋体"/>
          <w:color w:val="000008"/>
          <w:szCs w:val="22"/>
        </w:rPr>
      </w:pPr>
      <w:r>
        <w:rPr>
          <w:rFonts w:hint="eastAsia" w:ascii="宋体" w:hAnsi="宋体"/>
          <w:color w:val="000008"/>
          <w:szCs w:val="22"/>
        </w:rPr>
        <w:t>针对重要核心工业互联网软硬件所在区域或工业互联网平台（如工程师站、数据库、服务器、工业控制设备等）应划分重点物理安全防护区域；</w:t>
      </w:r>
    </w:p>
    <w:p>
      <w:pPr>
        <w:numPr>
          <w:ilvl w:val="0"/>
          <w:numId w:val="86"/>
        </w:numPr>
        <w:adjustRightInd/>
        <w:spacing w:line="240" w:lineRule="auto"/>
        <w:ind w:left="840" w:hanging="420"/>
        <w:rPr>
          <w:rFonts w:hint="eastAsia" w:ascii="宋体" w:hAnsi="宋体"/>
          <w:color w:val="000008"/>
          <w:szCs w:val="22"/>
        </w:rPr>
      </w:pPr>
      <w:r>
        <w:rPr>
          <w:rFonts w:hint="eastAsia" w:ascii="宋体" w:hAnsi="宋体"/>
          <w:color w:val="000008"/>
          <w:szCs w:val="22"/>
        </w:rPr>
        <w:t>机房出入口应当安排专人负责管理，人员进出记录应至少保存3个月；机房出入口应有视频监控，监控记录应至少保存3个月。</w:t>
      </w:r>
    </w:p>
    <w:p>
      <w:pPr>
        <w:pStyle w:val="97"/>
        <w:spacing w:before="156" w:after="156"/>
      </w:pPr>
      <w:bookmarkStart w:id="158" w:name="_Toc20389"/>
      <w:r>
        <w:rPr>
          <w:rFonts w:hint="eastAsia"/>
        </w:rPr>
        <w:t>防盗窃和防破坏</w:t>
      </w:r>
      <w:bookmarkEnd w:id="158"/>
    </w:p>
    <w:p>
      <w:pPr>
        <w:pStyle w:val="59"/>
        <w:ind w:firstLine="420"/>
        <w:rPr>
          <w:rFonts w:hint="eastAsia"/>
        </w:rPr>
      </w:pPr>
      <w:r>
        <w:rPr>
          <w:rFonts w:hint="eastAsia"/>
        </w:rPr>
        <w:t>除满足6.1.7.</w:t>
      </w:r>
      <w:r>
        <w:rPr>
          <w:rFonts w:hint="eastAsia"/>
          <w:lang w:val="en-US" w:eastAsia="zh-CN"/>
        </w:rPr>
        <w:t>3</w:t>
      </w:r>
      <w:r>
        <w:rPr>
          <w:rFonts w:hint="eastAsia"/>
        </w:rPr>
        <w:t>的要求之外，还应满足：</w:t>
      </w:r>
    </w:p>
    <w:p>
      <w:pPr>
        <w:pStyle w:val="59"/>
        <w:numPr>
          <w:ilvl w:val="0"/>
          <w:numId w:val="87"/>
        </w:numPr>
        <w:ind w:firstLine="420"/>
        <w:rPr>
          <w:rFonts w:hint="eastAsia"/>
        </w:rPr>
      </w:pPr>
      <w:r>
        <w:rPr>
          <w:rFonts w:hint="eastAsia"/>
        </w:rPr>
        <w:t>应对机房设置监控报警系统或设置有专人值守的视频监控系统，非7*24小时人员值守和巡查的 机房，主要出入口应安装红外线探测设备等光电防盗设备，一旦发现有破坏性入侵</w:t>
      </w:r>
      <w:r>
        <w:rPr>
          <w:rFonts w:hint="eastAsia"/>
          <w:lang w:eastAsia="zh-CN"/>
        </w:rPr>
        <w:t>及时</w:t>
      </w:r>
      <w:r>
        <w:rPr>
          <w:rFonts w:hint="eastAsia"/>
        </w:rPr>
        <w:t>显示入侵部位，并驱动声光报警装置</w:t>
      </w:r>
      <w:r>
        <w:rPr>
          <w:rFonts w:hint="eastAsia"/>
          <w:lang w:eastAsia="zh-CN"/>
        </w:rPr>
        <w:t>；</w:t>
      </w:r>
    </w:p>
    <w:p>
      <w:pPr>
        <w:pStyle w:val="59"/>
        <w:numPr>
          <w:ilvl w:val="0"/>
          <w:numId w:val="87"/>
        </w:numPr>
        <w:ind w:firstLine="420"/>
        <w:rPr>
          <w:rFonts w:hint="eastAsia"/>
        </w:rPr>
      </w:pPr>
      <w:r>
        <w:rPr>
          <w:rFonts w:hint="eastAsia"/>
        </w:rPr>
        <w:t>应将室外控制设备安装在具有防盗能力的箱体或装置中；</w:t>
      </w:r>
    </w:p>
    <w:p>
      <w:pPr>
        <w:pStyle w:val="59"/>
        <w:numPr>
          <w:ilvl w:val="0"/>
          <w:numId w:val="87"/>
        </w:numPr>
        <w:ind w:firstLine="420"/>
        <w:rPr>
          <w:rFonts w:hint="eastAsia"/>
        </w:rPr>
      </w:pPr>
      <w:r>
        <w:rPr>
          <w:rFonts w:hint="eastAsia"/>
        </w:rPr>
        <w:t>拆除或封闭工业主机上不必要的USB、光驱、无线等接口。若确需使用，通过主机外设安全管理技术手段实施严格访问控制。</w:t>
      </w:r>
    </w:p>
    <w:p>
      <w:pPr>
        <w:pStyle w:val="97"/>
        <w:spacing w:before="156" w:after="156"/>
      </w:pPr>
      <w:bookmarkStart w:id="159" w:name="_Toc21706"/>
      <w:r>
        <w:rPr>
          <w:rFonts w:hint="eastAsia"/>
        </w:rPr>
        <w:t>防雷击</w:t>
      </w:r>
      <w:bookmarkEnd w:id="159"/>
    </w:p>
    <w:p>
      <w:pPr>
        <w:pStyle w:val="59"/>
        <w:ind w:firstLine="420"/>
      </w:pPr>
      <w:r>
        <w:rPr>
          <w:rFonts w:hint="eastAsia"/>
        </w:rPr>
        <w:t>同6.1.7.4的要求。</w:t>
      </w:r>
    </w:p>
    <w:p>
      <w:pPr>
        <w:pStyle w:val="97"/>
        <w:spacing w:before="156" w:after="156"/>
      </w:pPr>
      <w:bookmarkStart w:id="160" w:name="_Toc19646"/>
      <w:r>
        <w:rPr>
          <w:rFonts w:hint="eastAsia"/>
        </w:rPr>
        <w:t>防火</w:t>
      </w:r>
      <w:bookmarkEnd w:id="160"/>
    </w:p>
    <w:p>
      <w:pPr>
        <w:pStyle w:val="177"/>
        <w:numPr>
          <w:ilvl w:val="0"/>
          <w:numId w:val="88"/>
        </w:numPr>
      </w:pPr>
      <w:r>
        <w:rPr>
          <w:rFonts w:hint="eastAsia"/>
        </w:rPr>
        <w:t>机房及工业设备放置场地应设置灭火设备和火灾自动报警系统，能够自动检测火情、自动报警，并自动灭火；</w:t>
      </w:r>
    </w:p>
    <w:p>
      <w:pPr>
        <w:pStyle w:val="177"/>
        <w:numPr>
          <w:ilvl w:val="0"/>
          <w:numId w:val="88"/>
        </w:numPr>
      </w:pPr>
      <w:r>
        <w:rPr>
          <w:rFonts w:hint="eastAsia"/>
        </w:rPr>
        <w:t>机房及相关的工作房间和辅助房应采用具有耐火等级的建筑材料。</w:t>
      </w:r>
    </w:p>
    <w:p>
      <w:pPr>
        <w:pStyle w:val="97"/>
        <w:spacing w:before="156" w:after="156"/>
      </w:pPr>
      <w:bookmarkStart w:id="161" w:name="_Toc23533"/>
      <w:r>
        <w:rPr>
          <w:rFonts w:hint="eastAsia"/>
        </w:rPr>
        <w:t>防水和防潮</w:t>
      </w:r>
      <w:bookmarkEnd w:id="161"/>
    </w:p>
    <w:p>
      <w:pPr>
        <w:pStyle w:val="59"/>
        <w:ind w:firstLine="420"/>
      </w:pPr>
      <w:r>
        <w:rPr>
          <w:rFonts w:hint="eastAsia"/>
        </w:rPr>
        <w:t>除满足6.1.7.</w:t>
      </w:r>
      <w:r>
        <w:rPr>
          <w:rFonts w:hint="eastAsia"/>
          <w:lang w:val="en-US" w:eastAsia="zh-CN"/>
        </w:rPr>
        <w:t>6</w:t>
      </w:r>
      <w:r>
        <w:rPr>
          <w:rFonts w:hint="eastAsia"/>
        </w:rPr>
        <w:t>的要求之外，还应满足：</w:t>
      </w:r>
    </w:p>
    <w:p>
      <w:pPr>
        <w:pStyle w:val="59"/>
        <w:ind w:firstLine="420"/>
      </w:pPr>
      <w:r>
        <w:rPr>
          <w:rFonts w:hint="eastAsia"/>
        </w:rPr>
        <w:t>应安装对水敏感的检测仪表或元件，对机房及工业设备放置场地进行防水检测和报警。</w:t>
      </w:r>
    </w:p>
    <w:p>
      <w:pPr>
        <w:pStyle w:val="97"/>
        <w:spacing w:before="156" w:after="156"/>
      </w:pPr>
      <w:bookmarkStart w:id="162" w:name="_Toc25006"/>
      <w:r>
        <w:rPr>
          <w:rFonts w:hint="eastAsia"/>
        </w:rPr>
        <w:t>防静电</w:t>
      </w:r>
      <w:bookmarkEnd w:id="162"/>
    </w:p>
    <w:p>
      <w:pPr>
        <w:pStyle w:val="59"/>
        <w:ind w:firstLine="420"/>
      </w:pPr>
      <w:r>
        <w:rPr>
          <w:rFonts w:hint="eastAsia"/>
        </w:rPr>
        <w:t>应满足YD/T 1754-2008中3.3.7的相关要求。</w:t>
      </w:r>
    </w:p>
    <w:p>
      <w:pPr>
        <w:pStyle w:val="97"/>
        <w:spacing w:before="156" w:after="156"/>
      </w:pPr>
      <w:bookmarkStart w:id="163" w:name="_Toc11568"/>
      <w:r>
        <w:rPr>
          <w:rFonts w:hint="eastAsia"/>
        </w:rPr>
        <w:t>温湿度控制</w:t>
      </w:r>
      <w:bookmarkEnd w:id="163"/>
    </w:p>
    <w:p>
      <w:pPr>
        <w:pStyle w:val="59"/>
        <w:ind w:firstLine="420"/>
      </w:pPr>
      <w:r>
        <w:rPr>
          <w:rFonts w:hint="eastAsia"/>
        </w:rPr>
        <w:t>同6.1.7.8的要求。</w:t>
      </w:r>
    </w:p>
    <w:p>
      <w:pPr>
        <w:pStyle w:val="97"/>
        <w:spacing w:before="156" w:after="156"/>
      </w:pPr>
      <w:bookmarkStart w:id="164" w:name="_Toc4169"/>
      <w:r>
        <w:rPr>
          <w:rFonts w:hint="eastAsia"/>
        </w:rPr>
        <w:t>电力供应</w:t>
      </w:r>
      <w:bookmarkEnd w:id="164"/>
    </w:p>
    <w:p>
      <w:pPr>
        <w:pStyle w:val="59"/>
        <w:ind w:firstLine="420"/>
        <w:rPr>
          <w:rFonts w:hint="eastAsia"/>
        </w:rPr>
      </w:pPr>
      <w:r>
        <w:rPr>
          <w:rFonts w:hint="eastAsia"/>
        </w:rPr>
        <w:t>除满足6.1.7.9的要求之外，还应满足：</w:t>
      </w:r>
    </w:p>
    <w:p>
      <w:pPr>
        <w:pStyle w:val="177"/>
        <w:numPr>
          <w:ilvl w:val="0"/>
          <w:numId w:val="89"/>
        </w:numPr>
        <w:rPr>
          <w:rFonts w:hint="eastAsia"/>
        </w:rPr>
      </w:pPr>
      <w:r>
        <w:rPr>
          <w:rFonts w:hint="eastAsia"/>
        </w:rPr>
        <w:t>应配备UPS，在配有发电机等后备电源的情况下，UPS供电能力能支持到后备电源开始供电；备用电力供应的实际供电能力应满足主要设备和环境控制设备在断电情况下正常运行至少2个小时；</w:t>
      </w:r>
    </w:p>
    <w:p>
      <w:pPr>
        <w:pStyle w:val="177"/>
        <w:numPr>
          <w:ilvl w:val="0"/>
          <w:numId w:val="89"/>
        </w:numPr>
        <w:rPr>
          <w:rFonts w:hint="eastAsia"/>
        </w:rPr>
      </w:pPr>
      <w:r>
        <w:rPr>
          <w:rFonts w:hint="eastAsia"/>
        </w:rPr>
        <w:t>应设置冗余或并行的电力电缆线路为计算机系统供电；应至少采用双路市电，且不能来自同一变电站。</w:t>
      </w:r>
    </w:p>
    <w:bookmarkEnd w:id="24"/>
    <w:p>
      <w:pPr>
        <w:pStyle w:val="97"/>
        <w:spacing w:before="156" w:after="156"/>
      </w:pPr>
      <w:bookmarkStart w:id="165" w:name="_Toc16981"/>
      <w:r>
        <w:rPr>
          <w:rFonts w:hint="eastAsia"/>
        </w:rPr>
        <w:t>电磁防护</w:t>
      </w:r>
      <w:bookmarkEnd w:id="165"/>
    </w:p>
    <w:p>
      <w:pPr>
        <w:pStyle w:val="59"/>
        <w:ind w:firstLine="420"/>
      </w:pPr>
      <w:r>
        <w:rPr>
          <w:rFonts w:hint="eastAsia"/>
        </w:rPr>
        <w:t>同6.1.7.10的要求。</w:t>
      </w:r>
    </w:p>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spacing w:after="0"/>
    </w:pPr>
    <w:r>
      <w:fldChar w:fldCharType="begin"/>
    </w:r>
    <w:r>
      <w:instrText xml:space="preserve"> STYLEREF  标准文件_文件编号  \* MERGEFORMAT </w:instrText>
    </w:r>
    <w:r>
      <w:fldChar w:fldCharType="separate"/>
    </w:r>
    <w:r>
      <w:t>GB/T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D654B1"/>
    <w:multiLevelType w:val="multilevel"/>
    <w:tmpl w:val="BBD654B1"/>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06CED0D"/>
    <w:multiLevelType w:val="singleLevel"/>
    <w:tmpl w:val="106CED0D"/>
    <w:lvl w:ilvl="0" w:tentative="0">
      <w:start w:val="1"/>
      <w:numFmt w:val="lowerLetter"/>
      <w:lvlText w:val="%1)"/>
      <w:lvlJc w:val="left"/>
      <w:pPr>
        <w:tabs>
          <w:tab w:val="left" w:pos="312"/>
        </w:tabs>
      </w:pPr>
    </w:lvl>
  </w:abstractNum>
  <w:abstractNum w:abstractNumId="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3BE16ADC"/>
    <w:multiLevelType w:val="multilevel"/>
    <w:tmpl w:val="3BE16ADC"/>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8E26AAC"/>
    <w:multiLevelType w:val="multilevel"/>
    <w:tmpl w:val="68E26AAC"/>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8">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1"/>
  </w:num>
  <w:num w:numId="3">
    <w:abstractNumId w:val="6"/>
  </w:num>
  <w:num w:numId="4">
    <w:abstractNumId w:val="26"/>
  </w:num>
  <w:num w:numId="5">
    <w:abstractNumId w:val="21"/>
  </w:num>
  <w:num w:numId="6">
    <w:abstractNumId w:val="16"/>
  </w:num>
  <w:num w:numId="7">
    <w:abstractNumId w:val="10"/>
  </w:num>
  <w:num w:numId="8">
    <w:abstractNumId w:val="4"/>
  </w:num>
  <w:num w:numId="9">
    <w:abstractNumId w:val="11"/>
  </w:num>
  <w:num w:numId="10">
    <w:abstractNumId w:val="19"/>
  </w:num>
  <w:num w:numId="11">
    <w:abstractNumId w:val="29"/>
  </w:num>
  <w:num w:numId="12">
    <w:abstractNumId w:val="13"/>
  </w:num>
  <w:num w:numId="13">
    <w:abstractNumId w:val="15"/>
  </w:num>
  <w:num w:numId="14">
    <w:abstractNumId w:val="9"/>
  </w:num>
  <w:num w:numId="15">
    <w:abstractNumId w:val="22"/>
  </w:num>
  <w:num w:numId="16">
    <w:abstractNumId w:val="24"/>
  </w:num>
  <w:num w:numId="17">
    <w:abstractNumId w:val="20"/>
  </w:num>
  <w:num w:numId="18">
    <w:abstractNumId w:val="33"/>
  </w:num>
  <w:num w:numId="19">
    <w:abstractNumId w:val="18"/>
  </w:num>
  <w:num w:numId="20">
    <w:abstractNumId w:val="2"/>
  </w:num>
  <w:num w:numId="21">
    <w:abstractNumId w:val="12"/>
  </w:num>
  <w:num w:numId="22">
    <w:abstractNumId w:val="34"/>
  </w:num>
  <w:num w:numId="23">
    <w:abstractNumId w:val="23"/>
  </w:num>
  <w:num w:numId="24">
    <w:abstractNumId w:val="7"/>
  </w:num>
  <w:num w:numId="25">
    <w:abstractNumId w:val="30"/>
  </w:num>
  <w:num w:numId="26">
    <w:abstractNumId w:val="32"/>
  </w:num>
  <w:num w:numId="27">
    <w:abstractNumId w:val="3"/>
  </w:num>
  <w:num w:numId="28">
    <w:abstractNumId w:val="5"/>
  </w:num>
  <w:num w:numId="29">
    <w:abstractNumId w:val="17"/>
  </w:num>
  <w:num w:numId="30">
    <w:abstractNumId w:val="28"/>
  </w:num>
  <w:num w:numId="31">
    <w:abstractNumId w:val="2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7"/>
  </w:num>
  <w:num w:numId="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4"/>
  </w:num>
  <w:num w:numId="86">
    <w:abstractNumId w:val="0"/>
  </w:num>
  <w:num w:numId="87">
    <w:abstractNumId w:val="8"/>
  </w:num>
  <w:num w:numId="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BiZTU3NmY0MWE0MmRmODI4NWE2ZTY4NzRjZjM0YTcifQ=="/>
  </w:docVars>
  <w:rsids>
    <w:rsidRoot w:val="00172A2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AE3"/>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2068"/>
    <w:rsid w:val="00104926"/>
    <w:rsid w:val="00111689"/>
    <w:rsid w:val="00113B1E"/>
    <w:rsid w:val="0011711C"/>
    <w:rsid w:val="0012110A"/>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01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817"/>
    <w:rsid w:val="00210B15"/>
    <w:rsid w:val="00212109"/>
    <w:rsid w:val="002142EA"/>
    <w:rsid w:val="002204BB"/>
    <w:rsid w:val="00221B79"/>
    <w:rsid w:val="00221C6B"/>
    <w:rsid w:val="002253A1"/>
    <w:rsid w:val="00225CF8"/>
    <w:rsid w:val="0022794E"/>
    <w:rsid w:val="00233D64"/>
    <w:rsid w:val="0023482A"/>
    <w:rsid w:val="002359CB"/>
    <w:rsid w:val="002375D9"/>
    <w:rsid w:val="00237F0E"/>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0E7"/>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6E6"/>
    <w:rsid w:val="002D6EC6"/>
    <w:rsid w:val="002D79AC"/>
    <w:rsid w:val="002E039D"/>
    <w:rsid w:val="002E4D5A"/>
    <w:rsid w:val="002E6326"/>
    <w:rsid w:val="002F09F1"/>
    <w:rsid w:val="002F30E0"/>
    <w:rsid w:val="002F35E4"/>
    <w:rsid w:val="002F3730"/>
    <w:rsid w:val="002F38E1"/>
    <w:rsid w:val="002F787A"/>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215"/>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2D60"/>
    <w:rsid w:val="00445574"/>
    <w:rsid w:val="004467FB"/>
    <w:rsid w:val="00452D6B"/>
    <w:rsid w:val="00454484"/>
    <w:rsid w:val="00455008"/>
    <w:rsid w:val="0045517B"/>
    <w:rsid w:val="00461A7A"/>
    <w:rsid w:val="00463B77"/>
    <w:rsid w:val="00463C7B"/>
    <w:rsid w:val="004644A6"/>
    <w:rsid w:val="004659BD"/>
    <w:rsid w:val="00470775"/>
    <w:rsid w:val="004746B1"/>
    <w:rsid w:val="0047583F"/>
    <w:rsid w:val="00477D7F"/>
    <w:rsid w:val="00484936"/>
    <w:rsid w:val="00485C89"/>
    <w:rsid w:val="00486BE3"/>
    <w:rsid w:val="004905E4"/>
    <w:rsid w:val="00490A89"/>
    <w:rsid w:val="00490AB4"/>
    <w:rsid w:val="00492F02"/>
    <w:rsid w:val="004939AE"/>
    <w:rsid w:val="004A12DF"/>
    <w:rsid w:val="004A1BA8"/>
    <w:rsid w:val="004A4B57"/>
    <w:rsid w:val="004A63FA"/>
    <w:rsid w:val="004B1D7E"/>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7F2"/>
    <w:rsid w:val="004F391A"/>
    <w:rsid w:val="004F3CFB"/>
    <w:rsid w:val="004F6456"/>
    <w:rsid w:val="004F696E"/>
    <w:rsid w:val="004F6C71"/>
    <w:rsid w:val="004F705B"/>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33D04"/>
    <w:rsid w:val="00534804"/>
    <w:rsid w:val="00534BDF"/>
    <w:rsid w:val="005354EA"/>
    <w:rsid w:val="00535EC4"/>
    <w:rsid w:val="00535ED9"/>
    <w:rsid w:val="0053692B"/>
    <w:rsid w:val="00536C70"/>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1FD0"/>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1954"/>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DEE"/>
    <w:rsid w:val="006F03A8"/>
    <w:rsid w:val="006F0ED7"/>
    <w:rsid w:val="006F2ACA"/>
    <w:rsid w:val="006F2ADC"/>
    <w:rsid w:val="006F2BFE"/>
    <w:rsid w:val="006F31E9"/>
    <w:rsid w:val="006F6284"/>
    <w:rsid w:val="007002C5"/>
    <w:rsid w:val="00704387"/>
    <w:rsid w:val="0070461D"/>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77B6D"/>
    <w:rsid w:val="0078114B"/>
    <w:rsid w:val="00781DD2"/>
    <w:rsid w:val="00783ECF"/>
    <w:rsid w:val="0078413A"/>
    <w:rsid w:val="00790CA3"/>
    <w:rsid w:val="00790E01"/>
    <w:rsid w:val="007959E8"/>
    <w:rsid w:val="00795E9C"/>
    <w:rsid w:val="007A0521"/>
    <w:rsid w:val="007A061E"/>
    <w:rsid w:val="007A2E12"/>
    <w:rsid w:val="007A3475"/>
    <w:rsid w:val="007A41C8"/>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876"/>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BF9"/>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91A"/>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36537"/>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138B"/>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4C83"/>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50E"/>
    <w:rsid w:val="00A31984"/>
    <w:rsid w:val="00A32A0B"/>
    <w:rsid w:val="00A32D73"/>
    <w:rsid w:val="00A32ECE"/>
    <w:rsid w:val="00A335BD"/>
    <w:rsid w:val="00A3367B"/>
    <w:rsid w:val="00A3597D"/>
    <w:rsid w:val="00A40091"/>
    <w:rsid w:val="00A4030F"/>
    <w:rsid w:val="00A41C79"/>
    <w:rsid w:val="00A41CB5"/>
    <w:rsid w:val="00A42CDF"/>
    <w:rsid w:val="00A4452E"/>
    <w:rsid w:val="00A4472C"/>
    <w:rsid w:val="00A44E69"/>
    <w:rsid w:val="00A4661E"/>
    <w:rsid w:val="00A5325B"/>
    <w:rsid w:val="00A5347D"/>
    <w:rsid w:val="00A55BD6"/>
    <w:rsid w:val="00A55D50"/>
    <w:rsid w:val="00A57142"/>
    <w:rsid w:val="00A648CD"/>
    <w:rsid w:val="00A6537A"/>
    <w:rsid w:val="00A65F5E"/>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3165"/>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1B34"/>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C8A"/>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32AE"/>
    <w:rsid w:val="00D4514F"/>
    <w:rsid w:val="00D451E2"/>
    <w:rsid w:val="00D4545E"/>
    <w:rsid w:val="00D45E89"/>
    <w:rsid w:val="00D45E8D"/>
    <w:rsid w:val="00D466AE"/>
    <w:rsid w:val="00D4734F"/>
    <w:rsid w:val="00D51BF3"/>
    <w:rsid w:val="00D63276"/>
    <w:rsid w:val="00D66846"/>
    <w:rsid w:val="00D675FB"/>
    <w:rsid w:val="00D67AA0"/>
    <w:rsid w:val="00D71F25"/>
    <w:rsid w:val="00D74071"/>
    <w:rsid w:val="00D77031"/>
    <w:rsid w:val="00D82E86"/>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0878"/>
    <w:rsid w:val="00E210B5"/>
    <w:rsid w:val="00E2552F"/>
    <w:rsid w:val="00E3137A"/>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1FD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679"/>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17C3F"/>
    <w:rsid w:val="00F25BB6"/>
    <w:rsid w:val="00F26B7E"/>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1140"/>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635"/>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 w:val="0224079E"/>
    <w:rsid w:val="02C126E4"/>
    <w:rsid w:val="08AE4627"/>
    <w:rsid w:val="0A1E3DEE"/>
    <w:rsid w:val="0A6E23FC"/>
    <w:rsid w:val="0D991278"/>
    <w:rsid w:val="0F406FB6"/>
    <w:rsid w:val="14817422"/>
    <w:rsid w:val="14FB2EEF"/>
    <w:rsid w:val="153A1F55"/>
    <w:rsid w:val="15CE7F2A"/>
    <w:rsid w:val="172F39C9"/>
    <w:rsid w:val="19E62BFF"/>
    <w:rsid w:val="1ADB21D9"/>
    <w:rsid w:val="24746C3A"/>
    <w:rsid w:val="265719B2"/>
    <w:rsid w:val="26C54B2C"/>
    <w:rsid w:val="2DAF0806"/>
    <w:rsid w:val="2E3A39DC"/>
    <w:rsid w:val="2FF1284A"/>
    <w:rsid w:val="32EC3E41"/>
    <w:rsid w:val="37223181"/>
    <w:rsid w:val="38BC4995"/>
    <w:rsid w:val="39501F2B"/>
    <w:rsid w:val="408462A5"/>
    <w:rsid w:val="41A318EB"/>
    <w:rsid w:val="437F5520"/>
    <w:rsid w:val="457D4DCE"/>
    <w:rsid w:val="47937C73"/>
    <w:rsid w:val="4AFC2B24"/>
    <w:rsid w:val="4E637A1B"/>
    <w:rsid w:val="50074EFC"/>
    <w:rsid w:val="51CC21FF"/>
    <w:rsid w:val="55FB4D81"/>
    <w:rsid w:val="573B20D3"/>
    <w:rsid w:val="57566ED0"/>
    <w:rsid w:val="58330507"/>
    <w:rsid w:val="587B2971"/>
    <w:rsid w:val="59DD478F"/>
    <w:rsid w:val="59F51056"/>
    <w:rsid w:val="5A497BBB"/>
    <w:rsid w:val="5AC80993"/>
    <w:rsid w:val="5DFE04ED"/>
    <w:rsid w:val="5E9E7C61"/>
    <w:rsid w:val="5EA9379A"/>
    <w:rsid w:val="62F22DC0"/>
    <w:rsid w:val="63BF5A44"/>
    <w:rsid w:val="63D0674D"/>
    <w:rsid w:val="64525838"/>
    <w:rsid w:val="64C7237A"/>
    <w:rsid w:val="656112BF"/>
    <w:rsid w:val="657C1C05"/>
    <w:rsid w:val="67192B4E"/>
    <w:rsid w:val="6AB16083"/>
    <w:rsid w:val="6DAB0AF9"/>
    <w:rsid w:val="6DCD3562"/>
    <w:rsid w:val="76817FB2"/>
    <w:rsid w:val="7A7E6272"/>
    <w:rsid w:val="7ABE1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unhideWhenUsed/>
    <w:qFormat/>
    <w:uiPriority w:val="99"/>
    <w:pPr>
      <w:adjustRightInd w:val="0"/>
      <w:spacing w:before="100" w:beforeLines="0" w:beforeAutospacing="1" w:after="100" w:afterLines="0" w:afterAutospacing="1" w:line="400" w:lineRule="exact"/>
    </w:pPr>
    <w:rPr>
      <w:rFonts w:hint="eastAsia" w:ascii="宋体" w:hAnsi="宋体" w:eastAsia="宋体" w:cs="宋体"/>
      <w:sz w:val="24"/>
      <w:szCs w:val="24"/>
      <w:lang w:val="en-US" w:eastAsia="zh-CN" w:bidi="ar-SA"/>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unhideWhenUsed/>
    <w:qFormat/>
    <w:uiPriority w:val="99"/>
    <w:rPr>
      <w:rFonts w:hint="default"/>
      <w:sz w:val="21"/>
      <w:szCs w:val="24"/>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rFonts w:ascii="Times New Roman" w:hAnsi="Times New Roman" w:eastAsia="宋体" w:cs="Times New Roman"/>
      <w:b/>
      <w:bCs/>
      <w:kern w:val="44"/>
      <w:sz w:val="44"/>
      <w:szCs w:val="44"/>
    </w:rPr>
  </w:style>
  <w:style w:type="character" w:customStyle="1" w:styleId="38">
    <w:name w:val="标题 2 字符"/>
    <w:link w:val="3"/>
    <w:qFormat/>
    <w:uiPriority w:val="0"/>
    <w:rPr>
      <w:rFonts w:ascii="Arial" w:hAnsi="Arial" w:eastAsia="黑体" w:cs="Times New Roman"/>
      <w:b/>
      <w:bCs/>
      <w:sz w:val="32"/>
      <w:szCs w:val="32"/>
    </w:rPr>
  </w:style>
  <w:style w:type="character" w:customStyle="1" w:styleId="39">
    <w:name w:val="标题 3 字符"/>
    <w:link w:val="4"/>
    <w:qFormat/>
    <w:uiPriority w:val="0"/>
    <w:rPr>
      <w:rFonts w:ascii="Times New Roman" w:hAnsi="Times New Roman" w:eastAsia="宋体" w:cs="Times New Roman"/>
      <w:b/>
      <w:bCs/>
      <w:sz w:val="32"/>
      <w:szCs w:val="32"/>
    </w:rPr>
  </w:style>
  <w:style w:type="character" w:customStyle="1" w:styleId="40">
    <w:name w:val="标题 4 字符"/>
    <w:link w:val="5"/>
    <w:qFormat/>
    <w:uiPriority w:val="0"/>
    <w:rPr>
      <w:rFonts w:ascii="Arial" w:hAnsi="Arial" w:eastAsia="黑体" w:cs="Times New Roman"/>
      <w:b/>
      <w:bCs/>
      <w:sz w:val="28"/>
      <w:szCs w:val="28"/>
    </w:rPr>
  </w:style>
  <w:style w:type="character" w:customStyle="1" w:styleId="41">
    <w:name w:val="标题 5 字符"/>
    <w:link w:val="6"/>
    <w:qFormat/>
    <w:uiPriority w:val="0"/>
    <w:rPr>
      <w:rFonts w:ascii="Times New Roman" w:hAnsi="Times New Roman" w:eastAsia="宋体" w:cs="Times New Roman"/>
      <w:b/>
      <w:bCs/>
      <w:sz w:val="28"/>
      <w:szCs w:val="28"/>
    </w:rPr>
  </w:style>
  <w:style w:type="character" w:customStyle="1" w:styleId="42">
    <w:name w:val="标题 6 字符"/>
    <w:link w:val="7"/>
    <w:qFormat/>
    <w:uiPriority w:val="0"/>
    <w:rPr>
      <w:rFonts w:ascii="Arial" w:hAnsi="Arial" w:eastAsia="黑体" w:cs="Times New Roman"/>
      <w:b/>
      <w:bCs/>
      <w:sz w:val="24"/>
      <w:szCs w:val="24"/>
    </w:rPr>
  </w:style>
  <w:style w:type="character" w:customStyle="1" w:styleId="43">
    <w:name w:val="标题 7 字符"/>
    <w:link w:val="8"/>
    <w:qFormat/>
    <w:uiPriority w:val="0"/>
    <w:rPr>
      <w:rFonts w:ascii="Times New Roman" w:hAnsi="Times New Roman" w:eastAsia="宋体" w:cs="Times New Roman"/>
      <w:b/>
      <w:bCs/>
      <w:sz w:val="24"/>
      <w:szCs w:val="24"/>
    </w:rPr>
  </w:style>
  <w:style w:type="character" w:customStyle="1" w:styleId="44">
    <w:name w:val="标题 8 字符"/>
    <w:link w:val="9"/>
    <w:qFormat/>
    <w:uiPriority w:val="0"/>
    <w:rPr>
      <w:rFonts w:ascii="Arial" w:hAnsi="Arial" w:eastAsia="黑体" w:cs="Times New Roman"/>
      <w:sz w:val="24"/>
      <w:szCs w:val="24"/>
    </w:rPr>
  </w:style>
  <w:style w:type="character" w:customStyle="1" w:styleId="45">
    <w:name w:val="标题 9 字符"/>
    <w:link w:val="10"/>
    <w:qFormat/>
    <w:uiPriority w:val="0"/>
    <w:rPr>
      <w:rFonts w:ascii="Arial" w:hAnsi="Arial" w:eastAsia="黑体" w:cs="Times New Roman"/>
      <w:szCs w:val="21"/>
    </w:rPr>
  </w:style>
  <w:style w:type="character" w:customStyle="1" w:styleId="46">
    <w:name w:val="页眉 字符"/>
    <w:link w:val="19"/>
    <w:qFormat/>
    <w:uiPriority w:val="99"/>
    <w:rPr>
      <w:rFonts w:ascii="Times New Roman" w:hAnsi="Times New Roman" w:eastAsia="宋体" w:cs="Times New Roman"/>
      <w:sz w:val="18"/>
      <w:szCs w:val="18"/>
    </w:rPr>
  </w:style>
  <w:style w:type="character" w:customStyle="1" w:styleId="47">
    <w:name w:val="页脚 字符"/>
    <w:link w:val="18"/>
    <w:qFormat/>
    <w:uiPriority w:val="99"/>
    <w:rPr>
      <w:rFonts w:ascii="宋体" w:hAnsi="Times New Roman" w:eastAsia="宋体" w:cs="Times New Roman"/>
      <w:sz w:val="18"/>
      <w:szCs w:val="18"/>
    </w:rPr>
  </w:style>
  <w:style w:type="character" w:customStyle="1" w:styleId="48">
    <w:name w:val="批注框文本 字符"/>
    <w:link w:val="17"/>
    <w:semiHidden/>
    <w:qFormat/>
    <w:uiPriority w:val="99"/>
    <w:rPr>
      <w:sz w:val="18"/>
      <w:szCs w:val="18"/>
    </w:rPr>
  </w:style>
  <w:style w:type="paragraph" w:customStyle="1"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customStyle="1"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32">
    <w:name w:val="段"/>
    <w:link w:val="2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3">
    <w:name w:val="段 Char"/>
    <w:link w:val="232"/>
    <w:qFormat/>
    <w:locked/>
    <w:uiPriority w:val="0"/>
    <w:rPr>
      <w:rFonts w:ascii="宋体" w:hAnsi="Times New Roman"/>
      <w:sz w:val="21"/>
    </w:rPr>
  </w:style>
  <w:style w:type="paragraph" w:customStyle="1" w:styleId="234">
    <w:name w:val="数字编号列项（二级）"/>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235">
    <w:name w:val="字母编号列项（一级）"/>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236">
    <w:name w:val="编号列项（三级）"/>
    <w:qFormat/>
    <w:uiPriority w:val="0"/>
    <w:pPr>
      <w:tabs>
        <w:tab w:val="left" w:pos="0"/>
      </w:tabs>
      <w:ind w:left="1679" w:hanging="420"/>
    </w:pPr>
    <w:rPr>
      <w:rFonts w:ascii="宋体" w:hAnsi="Times New Roman" w:eastAsia="宋体" w:cs="Times New Roman"/>
      <w:sz w:val="21"/>
      <w:lang w:val="en-US" w:eastAsia="zh-CN" w:bidi="ar-SA"/>
    </w:rPr>
  </w:style>
  <w:style w:type="paragraph" w:customStyle="1" w:styleId="23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38">
    <w:name w:val="WPSOffice手动目录 1"/>
    <w:qFormat/>
    <w:uiPriority w:val="0"/>
    <w:pPr>
      <w:ind w:leftChars="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tiff"/><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854EA52A11D4E3D9AB70A2A110234E9"/>
        <w:style w:val=""/>
        <w:category>
          <w:name w:val="常规"/>
          <w:gallery w:val="placeholder"/>
        </w:category>
        <w:types>
          <w:type w:val="bbPlcHdr"/>
        </w:types>
        <w:behaviors>
          <w:behavior w:val="content"/>
        </w:behaviors>
        <w:description w:val=""/>
        <w:guid w:val="{154E76F8-FCA6-420D-8659-634130290050}"/>
      </w:docPartPr>
      <w:docPartBody>
        <w:p>
          <w:pPr>
            <w:pStyle w:val="5"/>
          </w:pPr>
          <w:r>
            <w:rPr>
              <w:rStyle w:val="4"/>
              <w:rFonts w:hint="eastAsia"/>
            </w:rPr>
            <w:t>单击或点击此处输入文字。</w:t>
          </w:r>
        </w:p>
      </w:docPartBody>
    </w:docPart>
    <w:docPart>
      <w:docPartPr>
        <w:name w:val="23E1AF08959645CBB2465028CB75F1A4"/>
        <w:style w:val=""/>
        <w:category>
          <w:name w:val="常规"/>
          <w:gallery w:val="placeholder"/>
        </w:category>
        <w:types>
          <w:type w:val="bbPlcHdr"/>
        </w:types>
        <w:behaviors>
          <w:behavior w:val="content"/>
        </w:behaviors>
        <w:description w:val=""/>
        <w:guid w:val="{2A6556EA-F6BC-43A1-9B2F-D5F556805A6F}"/>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F47"/>
    <w:rsid w:val="000B28F5"/>
    <w:rsid w:val="001E1D1D"/>
    <w:rsid w:val="003E7E80"/>
    <w:rsid w:val="00460F47"/>
    <w:rsid w:val="009016CA"/>
    <w:rsid w:val="00B45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6854EA52A11D4E3D9AB70A2A110234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3E1AF08959645CBB2465028CB75F1A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09FE10-7EF9-456C-A4E8-0D167882EA1D}">
  <ds:schemaRefs/>
</ds:datastoreItem>
</file>

<file path=docProps/app.xml><?xml version="1.0" encoding="utf-8"?>
<Properties xmlns="http://schemas.openxmlformats.org/officeDocument/2006/extended-properties" xmlns:vt="http://schemas.openxmlformats.org/officeDocument/2006/docPropsVTypes">
  <Template>国家标准.dotx</Template>
  <Company>PCMI</Company>
  <Pages>20</Pages>
  <Words>14649</Words>
  <Characters>15261</Characters>
  <Lines>132</Lines>
  <Paragraphs>37</Paragraphs>
  <TotalTime>13</TotalTime>
  <ScaleCrop>false</ScaleCrop>
  <LinksUpToDate>false</LinksUpToDate>
  <CharactersWithSpaces>15381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2022-03-10T08:37:00Z</dcterms:created>
  <dc:creator>W</dc:creator>
  <dc:description>&lt;config cover="true" show_menu="true" version="1.0.0" doctype="SDKXY"&gt;_x000d_
&lt;/config&gt;</dc:description>
  <cp:lastModifiedBy>栗子</cp:lastModifiedBy>
  <cp:lastPrinted>2021-02-02T07:44:00Z</cp:lastPrinted>
  <dcterms:modified xsi:type="dcterms:W3CDTF">2022-08-24T08:20:13Z</dcterms:modified>
  <dc:title>国家标准</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2052-11.1.0.12313</vt:lpwstr>
  </property>
  <property fmtid="{D5CDD505-2E9C-101B-9397-08002B2CF9AE}" pid="15" name="ICV">
    <vt:lpwstr>5BCDB60EACB54720A3DD7FF97FB583F2</vt:lpwstr>
  </property>
</Properties>
</file>