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Times New Roman" w:hAnsi="Times New Roman" w:eastAsia="黑体"/>
                <w:sz w:val="21"/>
                <w:szCs w:val="21"/>
                <w:highlight w:val="none"/>
              </w:rPr>
            </w:pPr>
            <w:r>
              <w:rPr>
                <w:rFonts w:ascii="Times New Roman" w:hAnsi="Times New Roman" w:eastAsia="黑体"/>
                <w:sz w:val="21"/>
                <w:szCs w:val="21"/>
                <w:highlight w:val="none"/>
              </w:rPr>
              <w:t xml:space="preserve">ICS  </w:t>
            </w:r>
          </w:p>
        </w:tc>
        <w:tc>
          <w:tcPr>
            <w:tcW w:w="8855" w:type="dxa"/>
          </w:tcPr>
          <w:p>
            <w:pPr>
              <w:pStyle w:val="19"/>
              <w:framePr w:wrap="notBeside" w:vAnchor="page" w:hAnchor="page" w:x="1372" w:y="568"/>
              <w:tabs>
                <w:tab w:val="clear" w:pos="4153"/>
                <w:tab w:val="clear" w:pos="8306"/>
              </w:tabs>
              <w:spacing w:line="240" w:lineRule="auto"/>
              <w:ind w:left="3"/>
              <w:jc w:val="both"/>
              <w:rPr>
                <w:rFonts w:ascii="Times New Roman" w:hAnsi="Times New Roman" w:eastAsia="黑体"/>
                <w:sz w:val="21"/>
                <w:szCs w:val="21"/>
                <w:highlight w:val="none"/>
              </w:rPr>
            </w:pPr>
            <w:r>
              <w:rPr>
                <w:rFonts w:ascii="Times New Roman" w:hAnsi="Times New Roman" w:eastAsia="黑体"/>
                <w:sz w:val="21"/>
                <w:szCs w:val="21"/>
                <w:highlight w:val="none"/>
              </w:rPr>
              <w:t>35.020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Times New Roman" w:hAnsi="Times New Roman" w:eastAsia="黑体"/>
                <w:sz w:val="21"/>
                <w:szCs w:val="21"/>
                <w:highlight w:val="none"/>
              </w:rPr>
            </w:pPr>
            <w:r>
              <w:rPr>
                <w:rFonts w:ascii="Times New Roman" w:hAnsi="Times New Roman" w:eastAsia="黑体"/>
                <w:sz w:val="21"/>
                <w:szCs w:val="21"/>
                <w:highlight w:val="none"/>
              </w:rPr>
              <w:t xml:space="preserve">CCS  </w:t>
            </w:r>
          </w:p>
        </w:tc>
        <w:tc>
          <w:tcPr>
            <w:tcW w:w="8855" w:type="dxa"/>
          </w:tcPr>
          <w:p>
            <w:pPr>
              <w:pStyle w:val="19"/>
              <w:framePr w:wrap="notBeside" w:vAnchor="page" w:hAnchor="page" w:x="1372" w:y="568"/>
              <w:tabs>
                <w:tab w:val="clear" w:pos="4153"/>
                <w:tab w:val="clear" w:pos="8306"/>
              </w:tabs>
              <w:spacing w:before="40" w:line="240" w:lineRule="auto"/>
              <w:jc w:val="left"/>
              <w:rPr>
                <w:rFonts w:ascii="Times New Roman" w:hAnsi="Times New Roman" w:eastAsia="黑体"/>
                <w:sz w:val="21"/>
                <w:szCs w:val="21"/>
                <w:highlight w:val="none"/>
              </w:rPr>
            </w:pPr>
            <w:r>
              <w:rPr>
                <w:rFonts w:ascii="Times New Roman" w:hAnsi="Times New Roman" w:eastAsia="黑体"/>
                <w:sz w:val="21"/>
                <w:szCs w:val="21"/>
                <w:highlight w:val="none"/>
              </w:rPr>
              <w:t>L04</w:t>
            </w:r>
          </w:p>
        </w:tc>
      </w:tr>
    </w:tbl>
    <w:p>
      <w:pPr>
        <w:pStyle w:val="53"/>
        <w:framePr w:w="9639" w:h="624" w:hRule="exact" w:hSpace="181" w:vSpace="181" w:wrap="around" w:hAnchor="page" w:x="1305" w:y="2269"/>
        <w:rPr>
          <w:rFonts w:ascii="Times New Roman"/>
          <w:highlight w:val="none"/>
        </w:rPr>
      </w:pPr>
      <w:bookmarkStart w:id="0" w:name="_Hlk26473981"/>
      <w:r>
        <w:rPr>
          <w:rFonts w:ascii="Times New Roman"/>
          <w:highlight w:val="none"/>
        </w:rPr>
        <w:t>中华人民共和国国家标准</w:t>
      </w:r>
    </w:p>
    <w:bookmarkEnd w:id="0"/>
    <w:p>
      <w:pPr>
        <w:pStyle w:val="198"/>
        <w:framePr/>
        <w:rPr>
          <w:rFonts w:ascii="Times New Roman"/>
          <w:highlight w:val="none"/>
          <w:lang w:val="fr-FR"/>
        </w:rPr>
      </w:pPr>
      <w:r>
        <w:rPr>
          <w:rFonts w:ascii="Times New Roman"/>
          <w:highlight w:val="none"/>
        </w:rPr>
        <w:fldChar w:fldCharType="begin">
          <w:ffData>
            <w:name w:val="文字1"/>
            <w:enabled/>
            <w:calcOnExit w:val="0"/>
            <w:textInput>
              <w:default w:val="GB/T"/>
            </w:textInput>
          </w:ffData>
        </w:fldChar>
      </w:r>
      <w:bookmarkStart w:id="1" w:name="文字1"/>
      <w:r>
        <w:rPr>
          <w:rFonts w:ascii="Times New Roman"/>
          <w:highlight w:val="none"/>
          <w:lang w:val="fr-FR"/>
        </w:rPr>
        <w:instrText xml:space="preserve"> FORMTEXT </w:instrText>
      </w:r>
      <w:r>
        <w:rPr>
          <w:rFonts w:ascii="Times New Roman"/>
          <w:highlight w:val="none"/>
        </w:rPr>
        <w:fldChar w:fldCharType="separate"/>
      </w:r>
      <w:r>
        <w:rPr>
          <w:rFonts w:ascii="Times New Roman"/>
          <w:highlight w:val="none"/>
          <w:lang w:val="fr-FR"/>
        </w:rPr>
        <w:t>GB/T</w:t>
      </w:r>
      <w:r>
        <w:rPr>
          <w:rFonts w:ascii="Times New Roman"/>
          <w:highlight w:val="none"/>
        </w:rPr>
        <w:fldChar w:fldCharType="end"/>
      </w:r>
      <w:bookmarkEnd w:id="1"/>
      <w:r>
        <w:rPr>
          <w:rFonts w:ascii="Times New Roman"/>
          <w:highlight w:val="none"/>
          <w:lang w:val="fr-FR"/>
        </w:rPr>
        <w:t xml:space="preserve"> </w:t>
      </w:r>
      <w:r>
        <w:rPr>
          <w:rFonts w:ascii="Times New Roman"/>
          <w:highlight w:val="none"/>
        </w:rPr>
        <w:fldChar w:fldCharType="begin">
          <w:ffData>
            <w:name w:val="NSTD_CODE_F"/>
            <w:enabled/>
            <w:calcOnExit w:val="0"/>
            <w:textInput>
              <w:default w:val="XXXXX"/>
            </w:textInput>
          </w:ffData>
        </w:fldChar>
      </w:r>
      <w:bookmarkStart w:id="2" w:name="NSTD_CODE_F"/>
      <w:r>
        <w:rPr>
          <w:rFonts w:ascii="Times New Roman"/>
          <w:highlight w:val="none"/>
          <w:lang w:val="fr-FR"/>
        </w:rPr>
        <w:instrText xml:space="preserve"> FORMTEXT </w:instrText>
      </w:r>
      <w:r>
        <w:rPr>
          <w:rFonts w:ascii="Times New Roman"/>
          <w:highlight w:val="none"/>
        </w:rPr>
        <w:fldChar w:fldCharType="separate"/>
      </w:r>
      <w:r>
        <w:rPr>
          <w:rFonts w:ascii="Times New Roman"/>
          <w:highlight w:val="none"/>
          <w:lang w:val="fr-FR"/>
        </w:rPr>
        <w:t>XXXXX</w:t>
      </w:r>
      <w:r>
        <w:rPr>
          <w:rFonts w:ascii="Times New Roman"/>
          <w:highlight w:val="none"/>
        </w:rPr>
        <w:fldChar w:fldCharType="end"/>
      </w:r>
      <w:bookmarkEnd w:id="2"/>
      <w:r>
        <w:rPr>
          <w:rFonts w:ascii="Times New Roman"/>
          <w:highlight w:val="none"/>
          <w:lang w:val="fr-FR"/>
        </w:rPr>
        <w:t>—</w:t>
      </w:r>
      <w:r>
        <w:rPr>
          <w:rFonts w:ascii="Times New Roman"/>
          <w:highlight w:val="none"/>
        </w:rPr>
        <w:fldChar w:fldCharType="begin">
          <w:ffData>
            <w:name w:val="NSTD_CODE_B"/>
            <w:enabled/>
            <w:calcOnExit w:val="0"/>
            <w:textInput>
              <w:default w:val="XXXX"/>
            </w:textInput>
          </w:ffData>
        </w:fldChar>
      </w:r>
      <w:bookmarkStart w:id="3" w:name="NSTD_CODE_B"/>
      <w:r>
        <w:rPr>
          <w:rFonts w:ascii="Times New Roman"/>
          <w:highlight w:val="none"/>
          <w:lang w:val="fr-FR"/>
        </w:rPr>
        <w:instrText xml:space="preserve"> FORMTEXT </w:instrText>
      </w:r>
      <w:r>
        <w:rPr>
          <w:rFonts w:ascii="Times New Roman"/>
          <w:highlight w:val="none"/>
        </w:rPr>
        <w:fldChar w:fldCharType="separate"/>
      </w:r>
      <w:r>
        <w:rPr>
          <w:rFonts w:ascii="Times New Roman"/>
          <w:highlight w:val="none"/>
          <w:lang w:val="fr-FR"/>
        </w:rPr>
        <w:t>XXXX</w:t>
      </w:r>
      <w:r>
        <w:rPr>
          <w:rFonts w:ascii="Times New Roman"/>
          <w:highlight w:val="none"/>
        </w:rPr>
        <w:fldChar w:fldCharType="end"/>
      </w:r>
      <w:bookmarkEnd w:id="3"/>
    </w:p>
    <w:p>
      <w:pPr>
        <w:pStyle w:val="199"/>
        <w:framePr/>
        <w:rPr>
          <w:rFonts w:ascii="Times New Roman"/>
          <w:highlight w:val="none"/>
        </w:rPr>
      </w:pPr>
      <w:r>
        <w:rPr>
          <w:rFonts w:ascii="Times New Roman"/>
          <w:highlight w:val="none"/>
        </w:rPr>
        <w:fldChar w:fldCharType="begin">
          <w:ffData>
            <w:name w:val="OSTD_CODE"/>
            <w:enabled/>
            <w:calcOnExit w:val="0"/>
            <w:textInput/>
          </w:ffData>
        </w:fldChar>
      </w:r>
      <w:bookmarkStart w:id="4" w:name="OSTD_CODE"/>
      <w:r>
        <w:rPr>
          <w:rFonts w:ascii="Times New Roman"/>
          <w:highlight w:val="none"/>
        </w:rPr>
        <w:instrText xml:space="preserve"> FORMTEXT </w:instrText>
      </w:r>
      <w:r>
        <w:rPr>
          <w:rFonts w:ascii="Times New Roman"/>
          <w:highlight w:val="none"/>
        </w:rPr>
        <w:fldChar w:fldCharType="separate"/>
      </w:r>
      <w:r>
        <w:rPr>
          <w:rFonts w:ascii="Times New Roman"/>
          <w:highlight w:val="none"/>
        </w:rPr>
        <w:t>     </w:t>
      </w:r>
      <w:r>
        <w:rPr>
          <w:rFonts w:ascii="Times New Roman"/>
          <w:highlight w:val="none"/>
        </w:rPr>
        <w:fldChar w:fldCharType="end"/>
      </w:r>
      <w:bookmarkEnd w:id="4"/>
    </w:p>
    <w:p>
      <w:pPr>
        <w:spacing w:line="240" w:lineRule="auto"/>
        <w:ind w:left="8080"/>
        <w:rPr>
          <w:rFonts w:ascii="Times New Roman" w:hAnsi="Times New Roman" w:eastAsia="黑体"/>
          <w:kern w:val="0"/>
          <w:sz w:val="52"/>
          <w:szCs w:val="20"/>
          <w:highlight w:val="none"/>
        </w:rPr>
      </w:pPr>
      <w:r>
        <w:rPr>
          <w:rFonts w:ascii="Times New Roman" w:hAnsi="Times New Roman" w:eastAsia="黑体"/>
          <w:kern w:val="0"/>
          <w:sz w:val="52"/>
          <w:szCs w:val="20"/>
          <w:highlight w:val="none"/>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Times New Roman" w:hAnsi="Times New Roman" w:eastAsia="黑体"/>
          <w:kern w:val="0"/>
          <w:sz w:val="52"/>
          <w:szCs w:val="20"/>
          <w:highlight w:val="none"/>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pPr>
        <w:pStyle w:val="53"/>
        <w:framePr w:w="9639" w:h="6976" w:hRule="exact" w:hSpace="0" w:vSpace="0" w:wrap="around" w:hAnchor="page" w:y="6408"/>
        <w:jc w:val="center"/>
        <w:rPr>
          <w:rFonts w:ascii="Times New Roman" w:eastAsia="黑体"/>
          <w:b w:val="0"/>
          <w:bCs w:val="0"/>
          <w:w w:val="100"/>
          <w:highlight w:val="none"/>
        </w:rPr>
      </w:pPr>
    </w:p>
    <w:p>
      <w:pPr>
        <w:pStyle w:val="200"/>
        <w:framePr w:h="6974" w:hRule="exact" w:wrap="around" w:x="1419" w:anchorLock="1"/>
        <w:rPr>
          <w:rFonts w:ascii="Times New Roman" w:hAnsi="Times New Roman"/>
          <w:highlight w:val="none"/>
        </w:rPr>
      </w:pPr>
      <w:r>
        <w:rPr>
          <w:rFonts w:ascii="Times New Roman" w:hAnsi="Times New Roman"/>
          <w:highlight w:val="none"/>
        </w:rPr>
        <w:fldChar w:fldCharType="begin">
          <w:ffData>
            <w:name w:val="CSTD_NAME"/>
            <w:enabled/>
            <w:calcOnExit w:val="0"/>
            <w:textInput>
              <w:default w:val="点击此处添加标准名称"/>
            </w:textInput>
          </w:ffData>
        </w:fldChar>
      </w:r>
      <w:bookmarkStart w:id="5" w:name="CSTD_NAME"/>
      <w:r>
        <w:rPr>
          <w:rFonts w:ascii="Times New Roman" w:hAnsi="Times New Roman"/>
          <w:highlight w:val="none"/>
        </w:rPr>
        <w:instrText xml:space="preserve"> FORMTEXT </w:instrText>
      </w:r>
      <w:r>
        <w:rPr>
          <w:rFonts w:ascii="Times New Roman" w:hAnsi="Times New Roman"/>
          <w:highlight w:val="none"/>
        </w:rPr>
        <w:fldChar w:fldCharType="separate"/>
      </w:r>
    </w:p>
    <w:p>
      <w:pPr>
        <w:pStyle w:val="200"/>
        <w:framePr w:h="6974" w:hRule="exact" w:wrap="around" w:x="1419" w:anchorLock="1"/>
        <w:rPr>
          <w:rFonts w:ascii="Times New Roman" w:hAnsi="Times New Roman"/>
          <w:highlight w:val="none"/>
        </w:rPr>
      </w:pPr>
      <w:r>
        <w:rPr>
          <w:rFonts w:ascii="Times New Roman" w:hAnsi="Times New Roman"/>
          <w:highlight w:val="none"/>
        </w:rPr>
        <w:t>工业互联网企业网络安全 第2部分：平台企业防护要求</w:t>
      </w:r>
      <w:r>
        <w:rPr>
          <w:rFonts w:ascii="Times New Roman" w:hAnsi="Times New Roman"/>
          <w:highlight w:val="none"/>
        </w:rPr>
        <w:fldChar w:fldCharType="end"/>
      </w:r>
      <w:bookmarkEnd w:id="5"/>
    </w:p>
    <w:p>
      <w:pPr>
        <w:framePr w:w="9639" w:h="6974" w:hRule="exact" w:wrap="around" w:vAnchor="page" w:hAnchor="page" w:x="1419" w:y="6408" w:anchorLock="1"/>
        <w:ind w:left="-1418"/>
        <w:rPr>
          <w:rFonts w:ascii="Times New Roman" w:hAnsi="Times New Roman"/>
          <w:highlight w:val="none"/>
        </w:rPr>
      </w:pPr>
    </w:p>
    <w:p>
      <w:pPr>
        <w:pStyle w:val="128"/>
        <w:framePr w:w="9639" w:h="6974" w:hRule="exact" w:wrap="around" w:vAnchor="page" w:hAnchor="page" w:x="1419" w:y="6408" w:anchorLock="1"/>
        <w:textAlignment w:val="bottom"/>
        <w:rPr>
          <w:rFonts w:eastAsia="黑体"/>
          <w:szCs w:val="28"/>
          <w:highlight w:val="none"/>
        </w:rPr>
      </w:pPr>
      <w:r>
        <w:rPr>
          <w:rFonts w:eastAsia="黑体"/>
          <w:szCs w:val="28"/>
          <w:highlight w:val="none"/>
        </w:rPr>
        <w:fldChar w:fldCharType="begin">
          <w:ffData>
            <w:name w:val="ESTD_NAME"/>
            <w:enabled/>
            <w:calcOnExit w:val="0"/>
            <w:textInput>
              <w:default w:val="点击此处添加标准名称的英文译名"/>
            </w:textInput>
          </w:ffData>
        </w:fldChar>
      </w:r>
      <w:bookmarkStart w:id="6" w:name="ESTD_NAME"/>
      <w:r>
        <w:rPr>
          <w:rFonts w:eastAsia="黑体"/>
          <w:szCs w:val="28"/>
          <w:highlight w:val="none"/>
        </w:rPr>
        <w:instrText xml:space="preserve"> FORMTEXT </w:instrText>
      </w:r>
      <w:r>
        <w:rPr>
          <w:rFonts w:eastAsia="黑体"/>
          <w:szCs w:val="28"/>
          <w:highlight w:val="none"/>
        </w:rPr>
        <w:fldChar w:fldCharType="separate"/>
      </w:r>
      <w:r>
        <w:rPr>
          <w:rFonts w:eastAsia="黑体"/>
          <w:szCs w:val="28"/>
          <w:highlight w:val="none"/>
        </w:rPr>
        <w:t>Industrial Internet Enterprise Cyber Security Part 2: Protection Requirements of Industrial Internet Platform Enterprise</w:t>
      </w:r>
      <w:r>
        <w:rPr>
          <w:rFonts w:eastAsia="黑体"/>
          <w:szCs w:val="28"/>
          <w:highlight w:val="none"/>
        </w:rPr>
        <w:fldChar w:fldCharType="end"/>
      </w:r>
      <w:bookmarkEnd w:id="6"/>
    </w:p>
    <w:p>
      <w:pPr>
        <w:framePr w:w="9639" w:h="6974" w:hRule="exact" w:wrap="around" w:vAnchor="page" w:hAnchor="page" w:x="1419" w:y="6408" w:anchorLock="1"/>
        <w:spacing w:line="760" w:lineRule="exact"/>
        <w:ind w:left="-1418"/>
        <w:rPr>
          <w:rFonts w:ascii="Times New Roman" w:hAnsi="Times New Roman"/>
          <w:highlight w:val="none"/>
        </w:rPr>
      </w:pPr>
    </w:p>
    <w:p>
      <w:pPr>
        <w:pStyle w:val="128"/>
        <w:framePr w:w="9639" w:h="6974" w:hRule="exact" w:wrap="around" w:vAnchor="page" w:hAnchor="page" w:x="1419" w:y="6408" w:anchorLock="1"/>
        <w:textAlignment w:val="bottom"/>
        <w:rPr>
          <w:rFonts w:eastAsia="黑体"/>
          <w:szCs w:val="28"/>
          <w:highlight w:val="none"/>
        </w:rPr>
      </w:pPr>
      <w:r>
        <w:rPr>
          <w:rFonts w:eastAsia="黑体"/>
          <w:szCs w:val="28"/>
          <w:highlight w:val="none"/>
        </w:rPr>
        <w:fldChar w:fldCharType="begin">
          <w:ffData>
            <w:name w:val="IN_STD_CODE"/>
            <w:enabled/>
            <w:calcOnExit w:val="0"/>
            <w:textInput>
              <w:default w:val="(点击此处添加与国际标准一致性程度的标识)"/>
            </w:textInput>
          </w:ffData>
        </w:fldChar>
      </w:r>
      <w:bookmarkStart w:id="7" w:name="IN_STD_CODE"/>
      <w:r>
        <w:rPr>
          <w:rFonts w:eastAsia="黑体"/>
          <w:szCs w:val="28"/>
          <w:highlight w:val="none"/>
        </w:rPr>
        <w:instrText xml:space="preserve"> FORMTEXT </w:instrText>
      </w:r>
      <w:r>
        <w:rPr>
          <w:rFonts w:eastAsia="黑体"/>
          <w:szCs w:val="28"/>
          <w:highlight w:val="none"/>
        </w:rPr>
        <w:fldChar w:fldCharType="separate"/>
      </w:r>
      <w:r>
        <w:rPr>
          <w:rFonts w:eastAsia="黑体"/>
          <w:szCs w:val="28"/>
          <w:highlight w:val="none"/>
        </w:rPr>
        <w:t>(点击此处添加与国际标准一致性程度的标识)</w:t>
      </w:r>
      <w:r>
        <w:rPr>
          <w:rFonts w:eastAsia="黑体"/>
          <w:szCs w:val="28"/>
          <w:highlight w:val="none"/>
        </w:rPr>
        <w:fldChar w:fldCharType="end"/>
      </w:r>
      <w:bookmarkEnd w:id="7"/>
    </w:p>
    <w:p>
      <w:pPr>
        <w:pStyle w:val="128"/>
        <w:framePr w:w="9639" w:h="6974" w:hRule="exact" w:wrap="around" w:vAnchor="page" w:hAnchor="page" w:x="1419" w:y="6408" w:anchorLock="1"/>
        <w:spacing w:before="440" w:after="160"/>
        <w:textAlignment w:val="bottom"/>
        <w:rPr>
          <w:sz w:val="24"/>
          <w:szCs w:val="28"/>
          <w:highlight w:val="none"/>
        </w:rPr>
      </w:pPr>
      <w:r>
        <w:rPr>
          <w:sz w:val="24"/>
          <w:szCs w:val="28"/>
          <w:highlight w:val="none"/>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highlight w:val="none"/>
        </w:rPr>
        <w:instrText xml:space="preserve"> FORMDROPDOWN </w:instrText>
      </w:r>
      <w:r>
        <w:rPr>
          <w:sz w:val="24"/>
          <w:szCs w:val="28"/>
          <w:highlight w:val="none"/>
        </w:rPr>
        <w:fldChar w:fldCharType="separate"/>
      </w:r>
      <w:r>
        <w:rPr>
          <w:sz w:val="24"/>
          <w:szCs w:val="28"/>
          <w:highlight w:val="none"/>
        </w:rPr>
        <w:fldChar w:fldCharType="end"/>
      </w:r>
      <w:bookmarkEnd w:id="8"/>
    </w:p>
    <w:p>
      <w:pPr>
        <w:pStyle w:val="128"/>
        <w:framePr w:w="9639" w:h="6974" w:hRule="exact" w:wrap="around" w:vAnchor="page" w:hAnchor="page" w:x="1419" w:y="6408" w:anchorLock="1"/>
        <w:spacing w:before="180" w:line="240" w:lineRule="atLeast"/>
        <w:textAlignment w:val="bottom"/>
        <w:rPr>
          <w:sz w:val="21"/>
          <w:szCs w:val="28"/>
          <w:highlight w:val="none"/>
        </w:rPr>
      </w:pPr>
      <w:r>
        <w:rPr>
          <w:sz w:val="21"/>
          <w:szCs w:val="28"/>
          <w:highlight w:val="none"/>
        </w:rPr>
        <w:fldChar w:fldCharType="begin">
          <w:ffData>
            <w:name w:val="CMPLSH_DATE"/>
            <w:enabled/>
            <w:calcOnExit w:val="0"/>
            <w:textInput/>
          </w:ffData>
        </w:fldChar>
      </w:r>
      <w:bookmarkStart w:id="9" w:name="CMPLSH_DATE"/>
      <w:r>
        <w:rPr>
          <w:sz w:val="21"/>
          <w:szCs w:val="28"/>
          <w:highlight w:val="none"/>
        </w:rPr>
        <w:instrText xml:space="preserve"> FORMTEXT </w:instrText>
      </w:r>
      <w:r>
        <w:rPr>
          <w:sz w:val="21"/>
          <w:szCs w:val="28"/>
          <w:highlight w:val="none"/>
        </w:rPr>
        <w:fldChar w:fldCharType="separate"/>
      </w:r>
      <w:r>
        <w:rPr>
          <w:sz w:val="21"/>
          <w:szCs w:val="28"/>
          <w:highlight w:val="none"/>
        </w:rPr>
        <w:t>     </w:t>
      </w:r>
      <w:r>
        <w:rPr>
          <w:sz w:val="21"/>
          <w:szCs w:val="28"/>
          <w:highlight w:val="none"/>
        </w:rPr>
        <w:fldChar w:fldCharType="end"/>
      </w:r>
      <w:bookmarkEnd w:id="9"/>
    </w:p>
    <w:p>
      <w:pPr>
        <w:pStyle w:val="128"/>
        <w:framePr w:w="9639" w:h="6974" w:hRule="exact" w:wrap="around" w:vAnchor="page" w:hAnchor="page" w:x="1419" w:y="6408" w:anchorLock="1"/>
        <w:spacing w:before="720" w:beforeLines="300" w:after="72" w:afterLines="30" w:line="240" w:lineRule="auto"/>
        <w:textAlignment w:val="bottom"/>
        <w:rPr>
          <w:b/>
          <w:sz w:val="21"/>
          <w:szCs w:val="28"/>
          <w:highlight w:val="none"/>
        </w:rPr>
      </w:pPr>
      <w:r>
        <w:rPr>
          <w:b/>
          <w:sz w:val="21"/>
          <w:szCs w:val="28"/>
          <w:highlight w:val="none"/>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highlight w:val="none"/>
        </w:rPr>
        <w:instrText xml:space="preserve"> FORMDROPDOWN </w:instrText>
      </w:r>
      <w:r>
        <w:rPr>
          <w:b/>
          <w:sz w:val="21"/>
          <w:szCs w:val="28"/>
          <w:highlight w:val="none"/>
        </w:rPr>
        <w:fldChar w:fldCharType="separate"/>
      </w:r>
      <w:r>
        <w:rPr>
          <w:b/>
          <w:sz w:val="21"/>
          <w:szCs w:val="28"/>
          <w:highlight w:val="none"/>
        </w:rPr>
        <w:fldChar w:fldCharType="end"/>
      </w:r>
      <w:bookmarkEnd w:id="10"/>
    </w:p>
    <w:p>
      <w:pPr>
        <w:pStyle w:val="196"/>
        <w:framePr w:wrap="around" w:y="14176"/>
        <w:rPr>
          <w:highlight w:val="none"/>
        </w:rPr>
      </w:pPr>
      <w:r>
        <w:rPr>
          <w:highlight w:val="none"/>
        </w:rPr>
        <w:fldChar w:fldCharType="begin">
          <w:ffData>
            <w:name w:val="PLSH_DATE_Y"/>
            <w:enabled/>
            <w:calcOnExit w:val="0"/>
            <w:textInput>
              <w:default w:val="XXXX"/>
              <w:maxLength w:val="4"/>
            </w:textInput>
          </w:ffData>
        </w:fldChar>
      </w:r>
      <w:bookmarkStart w:id="11" w:name="PLSH_DATE_Y"/>
      <w:r>
        <w:rPr>
          <w:highlight w:val="none"/>
        </w:rPr>
        <w:instrText xml:space="preserve"> FORMTEXT </w:instrText>
      </w:r>
      <w:r>
        <w:rPr>
          <w:highlight w:val="none"/>
        </w:rPr>
        <w:fldChar w:fldCharType="separate"/>
      </w:r>
      <w:r>
        <w:rPr>
          <w:highlight w:val="none"/>
        </w:rPr>
        <w:t>XXXX</w:t>
      </w:r>
      <w:r>
        <w:rPr>
          <w:highlight w:val="none"/>
        </w:rPr>
        <w:fldChar w:fldCharType="end"/>
      </w:r>
      <w:bookmarkEnd w:id="11"/>
      <w:r>
        <w:rPr>
          <w:highlight w:val="none"/>
        </w:rPr>
        <w:t xml:space="preserve"> - </w:t>
      </w:r>
      <w:r>
        <w:rPr>
          <w:highlight w:val="none"/>
        </w:rPr>
        <w:fldChar w:fldCharType="begin">
          <w:ffData>
            <w:name w:val="PLSH_DATE_M"/>
            <w:enabled/>
            <w:calcOnExit w:val="0"/>
            <w:textInput>
              <w:default w:val="XX"/>
              <w:maxLength w:val="2"/>
            </w:textInput>
          </w:ffData>
        </w:fldChar>
      </w:r>
      <w:bookmarkStart w:id="12" w:name="PLSH_DATE_M"/>
      <w:r>
        <w:rPr>
          <w:highlight w:val="none"/>
        </w:rPr>
        <w:instrText xml:space="preserve"> FORMTEXT </w:instrText>
      </w:r>
      <w:r>
        <w:rPr>
          <w:highlight w:val="none"/>
        </w:rPr>
        <w:fldChar w:fldCharType="separate"/>
      </w:r>
      <w:r>
        <w:rPr>
          <w:highlight w:val="none"/>
        </w:rPr>
        <w:t>XX</w:t>
      </w:r>
      <w:r>
        <w:rPr>
          <w:highlight w:val="none"/>
        </w:rPr>
        <w:fldChar w:fldCharType="end"/>
      </w:r>
      <w:bookmarkEnd w:id="12"/>
      <w:r>
        <w:rPr>
          <w:highlight w:val="none"/>
        </w:rPr>
        <w:t xml:space="preserve"> - </w:t>
      </w:r>
      <w:r>
        <w:rPr>
          <w:highlight w:val="none"/>
        </w:rPr>
        <w:fldChar w:fldCharType="begin">
          <w:ffData>
            <w:name w:val="PLSH_DATE_D"/>
            <w:enabled/>
            <w:calcOnExit w:val="0"/>
            <w:textInput>
              <w:default w:val="XX"/>
              <w:maxLength w:val="2"/>
            </w:textInput>
          </w:ffData>
        </w:fldChar>
      </w:r>
      <w:bookmarkStart w:id="13" w:name="PLSH_DATE_D"/>
      <w:r>
        <w:rPr>
          <w:highlight w:val="none"/>
        </w:rPr>
        <w:instrText xml:space="preserve"> FORMTEXT </w:instrText>
      </w:r>
      <w:r>
        <w:rPr>
          <w:highlight w:val="none"/>
        </w:rPr>
        <w:fldChar w:fldCharType="separate"/>
      </w:r>
      <w:r>
        <w:rPr>
          <w:highlight w:val="none"/>
        </w:rPr>
        <w:t>XX</w:t>
      </w:r>
      <w:r>
        <w:rPr>
          <w:highlight w:val="none"/>
        </w:rPr>
        <w:fldChar w:fldCharType="end"/>
      </w:r>
      <w:bookmarkEnd w:id="13"/>
      <w:r>
        <w:rPr>
          <w:highlight w:val="none"/>
        </w:rPr>
        <w:t>发布</w:t>
      </w:r>
    </w:p>
    <w:p>
      <w:pPr>
        <w:pStyle w:val="197"/>
        <w:framePr w:wrap="around" w:y="14176"/>
        <w:rPr>
          <w:highlight w:val="none"/>
        </w:rPr>
      </w:pPr>
      <w:r>
        <w:rPr>
          <w:highlight w:val="none"/>
        </w:rPr>
        <w:fldChar w:fldCharType="begin">
          <w:ffData>
            <w:name w:val="CROT_DATE_Y"/>
            <w:enabled/>
            <w:calcOnExit w:val="0"/>
            <w:textInput>
              <w:default w:val="XXXX"/>
              <w:maxLength w:val="4"/>
            </w:textInput>
          </w:ffData>
        </w:fldChar>
      </w:r>
      <w:bookmarkStart w:id="14" w:name="CROT_DATE_Y"/>
      <w:r>
        <w:rPr>
          <w:highlight w:val="none"/>
        </w:rPr>
        <w:instrText xml:space="preserve"> FORMTEXT </w:instrText>
      </w:r>
      <w:r>
        <w:rPr>
          <w:highlight w:val="none"/>
        </w:rPr>
        <w:fldChar w:fldCharType="separate"/>
      </w:r>
      <w:r>
        <w:rPr>
          <w:highlight w:val="none"/>
        </w:rPr>
        <w:t>XXXX</w:t>
      </w:r>
      <w:r>
        <w:rPr>
          <w:highlight w:val="none"/>
        </w:rPr>
        <w:fldChar w:fldCharType="end"/>
      </w:r>
      <w:bookmarkEnd w:id="14"/>
      <w:r>
        <w:rPr>
          <w:highlight w:val="none"/>
        </w:rPr>
        <w:t xml:space="preserve"> - </w:t>
      </w:r>
      <w:r>
        <w:rPr>
          <w:highlight w:val="none"/>
        </w:rPr>
        <w:fldChar w:fldCharType="begin">
          <w:ffData>
            <w:name w:val="CROT_DATE_M"/>
            <w:enabled/>
            <w:calcOnExit w:val="0"/>
            <w:textInput>
              <w:default w:val="XX"/>
              <w:maxLength w:val="2"/>
            </w:textInput>
          </w:ffData>
        </w:fldChar>
      </w:r>
      <w:bookmarkStart w:id="15" w:name="CROT_DATE_M"/>
      <w:r>
        <w:rPr>
          <w:highlight w:val="none"/>
        </w:rPr>
        <w:instrText xml:space="preserve"> FORMTEXT </w:instrText>
      </w:r>
      <w:r>
        <w:rPr>
          <w:highlight w:val="none"/>
        </w:rPr>
        <w:fldChar w:fldCharType="separate"/>
      </w:r>
      <w:r>
        <w:rPr>
          <w:highlight w:val="none"/>
        </w:rPr>
        <w:t>XX</w:t>
      </w:r>
      <w:r>
        <w:rPr>
          <w:highlight w:val="none"/>
        </w:rPr>
        <w:fldChar w:fldCharType="end"/>
      </w:r>
      <w:bookmarkEnd w:id="15"/>
      <w:r>
        <w:rPr>
          <w:highlight w:val="none"/>
        </w:rPr>
        <w:t xml:space="preserve"> - </w:t>
      </w:r>
      <w:r>
        <w:rPr>
          <w:highlight w:val="none"/>
        </w:rPr>
        <w:fldChar w:fldCharType="begin">
          <w:ffData>
            <w:name w:val="CROT_DATE_D"/>
            <w:enabled/>
            <w:calcOnExit w:val="0"/>
            <w:textInput>
              <w:default w:val="XX"/>
              <w:maxLength w:val="2"/>
            </w:textInput>
          </w:ffData>
        </w:fldChar>
      </w:r>
      <w:bookmarkStart w:id="16" w:name="CROT_DATE_D"/>
      <w:r>
        <w:rPr>
          <w:highlight w:val="none"/>
        </w:rPr>
        <w:instrText xml:space="preserve"> FORMTEXT </w:instrText>
      </w:r>
      <w:r>
        <w:rPr>
          <w:highlight w:val="none"/>
        </w:rPr>
        <w:fldChar w:fldCharType="separate"/>
      </w:r>
      <w:r>
        <w:rPr>
          <w:highlight w:val="none"/>
        </w:rPr>
        <w:t>XX</w:t>
      </w:r>
      <w:r>
        <w:rPr>
          <w:highlight w:val="none"/>
        </w:rPr>
        <w:fldChar w:fldCharType="end"/>
      </w:r>
      <w:bookmarkEnd w:id="16"/>
      <w:r>
        <w:rPr>
          <w:highlight w:val="none"/>
        </w:rPr>
        <w:t>实施</w:t>
      </w:r>
    </w:p>
    <w:p>
      <w:pPr>
        <w:rPr>
          <w:rFonts w:ascii="Times New Roman" w:hAnsi="Times New Roman"/>
          <w:sz w:val="28"/>
          <w:szCs w:val="28"/>
          <w:highlight w:val="none"/>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ascii="Times New Roman" w:hAnsi="Times New Roman"/>
          <w:sz w:val="28"/>
          <w:szCs w:val="28"/>
          <w:highlight w:val="none"/>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ascii="Times New Roman" w:hAnsi="Times New Roman"/>
          <w:sz w:val="28"/>
          <w:szCs w:val="28"/>
          <w:highlight w:val="none"/>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ascii="Times New Roman" w:hAnsi="Times New Roman"/>
          <w:sz w:val="28"/>
          <w:szCs w:val="28"/>
          <w:highlight w:val="none"/>
        </w:rPr>
        <w:t>`</w:t>
      </w:r>
    </w:p>
    <w:p>
      <w:pPr>
        <w:pStyle w:val="94"/>
        <w:spacing w:after="468"/>
        <w:rPr>
          <w:rFonts w:ascii="Times New Roman" w:hAnsi="Times New Roman"/>
          <w:highlight w:val="none"/>
        </w:rPr>
      </w:pPr>
      <w:bookmarkStart w:id="17" w:name="BookMark1"/>
      <w:bookmarkStart w:id="18" w:name="_Toc102984531"/>
      <w:bookmarkStart w:id="19" w:name="_Toc102992472"/>
      <w:r>
        <w:rPr>
          <w:rFonts w:ascii="Times New Roman" w:hAnsi="Times New Roman"/>
          <w:spacing w:val="320"/>
          <w:highlight w:val="none"/>
        </w:rPr>
        <w:t>目</w:t>
      </w:r>
      <w:r>
        <w:rPr>
          <w:rFonts w:ascii="Times New Roman" w:hAnsi="Times New Roman"/>
          <w:highlight w:val="none"/>
        </w:rPr>
        <w:t>次</w:t>
      </w:r>
    </w:p>
    <w:p>
      <w:pPr>
        <w:pStyle w:val="20"/>
        <w:tabs>
          <w:tab w:val="right" w:leader="dot" w:pos="9344"/>
        </w:tabs>
        <w:rPr>
          <w:rFonts w:ascii="Times New Roman" w:hAnsi="Times New Roman" w:eastAsiaTheme="minorEastAsia"/>
          <w:szCs w:val="22"/>
          <w:highlight w:val="none"/>
        </w:rPr>
      </w:pPr>
      <w:r>
        <w:rPr>
          <w:rFonts w:ascii="Times New Roman" w:hAnsi="Times New Roman"/>
          <w:highlight w:val="none"/>
        </w:rPr>
        <w:fldChar w:fldCharType="begin"/>
      </w:r>
      <w:r>
        <w:rPr>
          <w:rFonts w:ascii="Times New Roman" w:hAnsi="Times New Roman"/>
          <w:highlight w:val="none"/>
        </w:rPr>
        <w:instrText xml:space="preserve"> TOC \o "1-1" \h \t "标准文件_一级条标题,2,标准文件_附录一级条标题,2," </w:instrText>
      </w:r>
      <w:r>
        <w:rPr>
          <w:rFonts w:ascii="Times New Roman" w:hAnsi="Times New Roman"/>
          <w:highlight w:val="none"/>
        </w:rPr>
        <w:fldChar w:fldCharType="separate"/>
      </w:r>
      <w:r>
        <w:rPr>
          <w:highlight w:val="none"/>
        </w:rPr>
        <w:fldChar w:fldCharType="begin"/>
      </w:r>
      <w:r>
        <w:rPr>
          <w:highlight w:val="none"/>
        </w:rPr>
        <w:instrText xml:space="preserve"> HYPERLINK \l "_Toc104671585" </w:instrText>
      </w:r>
      <w:r>
        <w:rPr>
          <w:highlight w:val="none"/>
        </w:rPr>
        <w:fldChar w:fldCharType="separate"/>
      </w:r>
      <w:r>
        <w:rPr>
          <w:rStyle w:val="34"/>
          <w:rFonts w:ascii="Times New Roman"/>
          <w:spacing w:val="320"/>
          <w:highlight w:val="none"/>
        </w:rPr>
        <w:t>前</w:t>
      </w:r>
      <w:r>
        <w:rPr>
          <w:rStyle w:val="34"/>
          <w:rFonts w:ascii="Times New Roman"/>
          <w:highlight w:val="none"/>
        </w:rPr>
        <w:t>言</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_Toc104671585 \h </w:instrText>
      </w:r>
      <w:r>
        <w:rPr>
          <w:rFonts w:ascii="Times New Roman" w:hAnsi="Times New Roman"/>
          <w:highlight w:val="none"/>
        </w:rPr>
        <w:fldChar w:fldCharType="separate"/>
      </w:r>
      <w:r>
        <w:rPr>
          <w:rFonts w:ascii="Times New Roman" w:hAnsi="Times New Roman"/>
          <w:highlight w:val="none"/>
        </w:rPr>
        <w:t>II</w:t>
      </w:r>
      <w:r>
        <w:rPr>
          <w:rFonts w:ascii="Times New Roman" w:hAnsi="Times New Roman"/>
          <w:highlight w:val="none"/>
        </w:rPr>
        <w:fldChar w:fldCharType="end"/>
      </w:r>
      <w:r>
        <w:rPr>
          <w:rFonts w:ascii="Times New Roman" w:hAnsi="Times New Roman"/>
          <w:highlight w:val="none"/>
        </w:rPr>
        <w:fldChar w:fldCharType="end"/>
      </w:r>
    </w:p>
    <w:p>
      <w:pPr>
        <w:pStyle w:val="20"/>
        <w:tabs>
          <w:tab w:val="right" w:leader="dot" w:pos="9344"/>
        </w:tabs>
        <w:rPr>
          <w:rFonts w:ascii="Times New Roman" w:hAnsi="Times New Roman" w:eastAsiaTheme="minorEastAsia"/>
          <w:szCs w:val="22"/>
          <w:highlight w:val="none"/>
        </w:rPr>
      </w:pPr>
      <w:r>
        <w:rPr>
          <w:highlight w:val="none"/>
        </w:rPr>
        <w:fldChar w:fldCharType="begin"/>
      </w:r>
      <w:r>
        <w:rPr>
          <w:highlight w:val="none"/>
        </w:rPr>
        <w:instrText xml:space="preserve"> HYPERLINK \l "_Toc104671586" </w:instrText>
      </w:r>
      <w:r>
        <w:rPr>
          <w:highlight w:val="none"/>
        </w:rPr>
        <w:fldChar w:fldCharType="separate"/>
      </w:r>
      <w:r>
        <w:rPr>
          <w:rStyle w:val="34"/>
          <w:rFonts w:ascii="Times New Roman"/>
          <w:spacing w:val="320"/>
          <w:highlight w:val="none"/>
        </w:rPr>
        <w:t>引</w:t>
      </w:r>
      <w:r>
        <w:rPr>
          <w:rStyle w:val="34"/>
          <w:rFonts w:ascii="Times New Roman"/>
          <w:highlight w:val="none"/>
        </w:rPr>
        <w:t>言</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_Toc104671586 \h </w:instrText>
      </w:r>
      <w:r>
        <w:rPr>
          <w:rFonts w:ascii="Times New Roman" w:hAnsi="Times New Roman"/>
          <w:highlight w:val="none"/>
        </w:rPr>
        <w:fldChar w:fldCharType="separate"/>
      </w:r>
      <w:r>
        <w:rPr>
          <w:rFonts w:ascii="Times New Roman" w:hAnsi="Times New Roman"/>
          <w:highlight w:val="none"/>
        </w:rPr>
        <w:t>III</w:t>
      </w:r>
      <w:r>
        <w:rPr>
          <w:rFonts w:ascii="Times New Roman" w:hAnsi="Times New Roman"/>
          <w:highlight w:val="none"/>
        </w:rPr>
        <w:fldChar w:fldCharType="end"/>
      </w:r>
      <w:r>
        <w:rPr>
          <w:rFonts w:ascii="Times New Roman" w:hAnsi="Times New Roman"/>
          <w:highlight w:val="none"/>
        </w:rPr>
        <w:fldChar w:fldCharType="end"/>
      </w:r>
    </w:p>
    <w:p>
      <w:pPr>
        <w:pStyle w:val="20"/>
        <w:tabs>
          <w:tab w:val="right" w:leader="dot" w:pos="9344"/>
        </w:tabs>
        <w:rPr>
          <w:rFonts w:ascii="Times New Roman" w:hAnsi="Times New Roman" w:eastAsiaTheme="minorEastAsia"/>
          <w:szCs w:val="22"/>
          <w:highlight w:val="none"/>
        </w:rPr>
      </w:pPr>
      <w:r>
        <w:rPr>
          <w:highlight w:val="none"/>
        </w:rPr>
        <w:fldChar w:fldCharType="begin"/>
      </w:r>
      <w:r>
        <w:rPr>
          <w:highlight w:val="none"/>
        </w:rPr>
        <w:instrText xml:space="preserve"> HYPERLINK \l "_Toc104671587" </w:instrText>
      </w:r>
      <w:r>
        <w:rPr>
          <w:highlight w:val="none"/>
        </w:rPr>
        <w:fldChar w:fldCharType="separate"/>
      </w:r>
      <w:r>
        <w:rPr>
          <w:rStyle w:val="34"/>
          <w:rFonts w:ascii="Times New Roman"/>
          <w:highlight w:val="none"/>
        </w:rPr>
        <w:t>1 范围</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_Toc104671587 \h </w:instrText>
      </w:r>
      <w:r>
        <w:rPr>
          <w:rFonts w:ascii="Times New Roman" w:hAnsi="Times New Roman"/>
          <w:highlight w:val="none"/>
        </w:rPr>
        <w:fldChar w:fldCharType="separate"/>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fldChar w:fldCharType="end"/>
      </w:r>
    </w:p>
    <w:p>
      <w:pPr>
        <w:pStyle w:val="20"/>
        <w:tabs>
          <w:tab w:val="right" w:leader="dot" w:pos="9344"/>
        </w:tabs>
        <w:rPr>
          <w:rFonts w:ascii="Times New Roman" w:hAnsi="Times New Roman" w:eastAsiaTheme="minorEastAsia"/>
          <w:szCs w:val="22"/>
          <w:highlight w:val="none"/>
        </w:rPr>
      </w:pPr>
      <w:r>
        <w:rPr>
          <w:highlight w:val="none"/>
        </w:rPr>
        <w:fldChar w:fldCharType="begin"/>
      </w:r>
      <w:r>
        <w:rPr>
          <w:highlight w:val="none"/>
        </w:rPr>
        <w:instrText xml:space="preserve"> HYPERLINK \l "_Toc104671588" </w:instrText>
      </w:r>
      <w:r>
        <w:rPr>
          <w:highlight w:val="none"/>
        </w:rPr>
        <w:fldChar w:fldCharType="separate"/>
      </w:r>
      <w:r>
        <w:rPr>
          <w:rStyle w:val="34"/>
          <w:rFonts w:ascii="Times New Roman"/>
          <w:highlight w:val="none"/>
        </w:rPr>
        <w:t>2 规范性引用文件</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_Toc104671588 \h </w:instrText>
      </w:r>
      <w:r>
        <w:rPr>
          <w:rFonts w:ascii="Times New Roman" w:hAnsi="Times New Roman"/>
          <w:highlight w:val="none"/>
        </w:rPr>
        <w:fldChar w:fldCharType="separate"/>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fldChar w:fldCharType="end"/>
      </w:r>
    </w:p>
    <w:p>
      <w:pPr>
        <w:pStyle w:val="20"/>
        <w:tabs>
          <w:tab w:val="right" w:leader="dot" w:pos="9344"/>
        </w:tabs>
        <w:rPr>
          <w:rFonts w:ascii="Times New Roman" w:hAnsi="Times New Roman" w:eastAsiaTheme="minorEastAsia"/>
          <w:szCs w:val="22"/>
          <w:highlight w:val="none"/>
        </w:rPr>
      </w:pPr>
      <w:r>
        <w:rPr>
          <w:highlight w:val="none"/>
        </w:rPr>
        <w:fldChar w:fldCharType="begin"/>
      </w:r>
      <w:r>
        <w:rPr>
          <w:highlight w:val="none"/>
        </w:rPr>
        <w:instrText xml:space="preserve"> HYPERLINK \l "_Toc104671589" </w:instrText>
      </w:r>
      <w:r>
        <w:rPr>
          <w:highlight w:val="none"/>
        </w:rPr>
        <w:fldChar w:fldCharType="separate"/>
      </w:r>
      <w:r>
        <w:rPr>
          <w:rStyle w:val="34"/>
          <w:rFonts w:ascii="Times New Roman"/>
          <w:highlight w:val="none"/>
        </w:rPr>
        <w:t>3 术语和定义</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_Toc104671589 \h </w:instrText>
      </w:r>
      <w:r>
        <w:rPr>
          <w:rFonts w:ascii="Times New Roman" w:hAnsi="Times New Roman"/>
          <w:highlight w:val="none"/>
        </w:rPr>
        <w:fldChar w:fldCharType="separate"/>
      </w:r>
      <w:r>
        <w:rPr>
          <w:rFonts w:ascii="Times New Roman" w:hAnsi="Times New Roman"/>
          <w:highlight w:val="none"/>
        </w:rPr>
        <w:t>1</w:t>
      </w:r>
      <w:r>
        <w:rPr>
          <w:rFonts w:ascii="Times New Roman" w:hAnsi="Times New Roman"/>
          <w:highlight w:val="none"/>
        </w:rPr>
        <w:fldChar w:fldCharType="end"/>
      </w:r>
      <w:r>
        <w:rPr>
          <w:rFonts w:ascii="Times New Roman" w:hAnsi="Times New Roman"/>
          <w:highlight w:val="none"/>
        </w:rPr>
        <w:fldChar w:fldCharType="end"/>
      </w:r>
    </w:p>
    <w:p>
      <w:pPr>
        <w:pStyle w:val="20"/>
        <w:tabs>
          <w:tab w:val="right" w:leader="dot" w:pos="9344"/>
        </w:tabs>
        <w:rPr>
          <w:rFonts w:ascii="Times New Roman" w:hAnsi="Times New Roman" w:eastAsiaTheme="minorEastAsia"/>
          <w:szCs w:val="22"/>
          <w:highlight w:val="none"/>
        </w:rPr>
      </w:pPr>
      <w:r>
        <w:rPr>
          <w:highlight w:val="none"/>
        </w:rPr>
        <w:fldChar w:fldCharType="begin"/>
      </w:r>
      <w:r>
        <w:rPr>
          <w:highlight w:val="none"/>
        </w:rPr>
        <w:instrText xml:space="preserve"> HYPERLINK \l "_Toc104671590" </w:instrText>
      </w:r>
      <w:r>
        <w:rPr>
          <w:highlight w:val="none"/>
        </w:rPr>
        <w:fldChar w:fldCharType="separate"/>
      </w:r>
      <w:r>
        <w:rPr>
          <w:rStyle w:val="34"/>
          <w:rFonts w:ascii="Times New Roman"/>
          <w:highlight w:val="none"/>
        </w:rPr>
        <w:t>4 缩略语</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_Toc104671590 \h </w:instrText>
      </w:r>
      <w:r>
        <w:rPr>
          <w:rFonts w:ascii="Times New Roman" w:hAnsi="Times New Roman"/>
          <w:highlight w:val="none"/>
        </w:rPr>
        <w:fldChar w:fldCharType="separate"/>
      </w:r>
      <w:r>
        <w:rPr>
          <w:rFonts w:ascii="Times New Roman" w:hAnsi="Times New Roman"/>
          <w:highlight w:val="none"/>
        </w:rPr>
        <w:t>2</w:t>
      </w:r>
      <w:r>
        <w:rPr>
          <w:rFonts w:ascii="Times New Roman" w:hAnsi="Times New Roman"/>
          <w:highlight w:val="none"/>
        </w:rPr>
        <w:fldChar w:fldCharType="end"/>
      </w:r>
      <w:r>
        <w:rPr>
          <w:rFonts w:ascii="Times New Roman" w:hAnsi="Times New Roman"/>
          <w:highlight w:val="none"/>
        </w:rPr>
        <w:fldChar w:fldCharType="end"/>
      </w:r>
    </w:p>
    <w:p>
      <w:pPr>
        <w:pStyle w:val="20"/>
        <w:tabs>
          <w:tab w:val="right" w:leader="dot" w:pos="9344"/>
        </w:tabs>
        <w:rPr>
          <w:rFonts w:ascii="Times New Roman" w:hAnsi="Times New Roman" w:eastAsiaTheme="minorEastAsia"/>
          <w:szCs w:val="22"/>
          <w:highlight w:val="none"/>
        </w:rPr>
      </w:pPr>
      <w:r>
        <w:rPr>
          <w:highlight w:val="none"/>
        </w:rPr>
        <w:fldChar w:fldCharType="begin"/>
      </w:r>
      <w:r>
        <w:rPr>
          <w:highlight w:val="none"/>
        </w:rPr>
        <w:instrText xml:space="preserve"> HYPERLINK \l "_Toc104671591" </w:instrText>
      </w:r>
      <w:r>
        <w:rPr>
          <w:highlight w:val="none"/>
        </w:rPr>
        <w:fldChar w:fldCharType="separate"/>
      </w:r>
      <w:r>
        <w:rPr>
          <w:rStyle w:val="34"/>
          <w:rFonts w:ascii="Times New Roman"/>
          <w:highlight w:val="none"/>
        </w:rPr>
        <w:t>5 工业互联网平台企业安全防护范围及内容</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_Toc104671591 \h </w:instrText>
      </w:r>
      <w:r>
        <w:rPr>
          <w:rFonts w:ascii="Times New Roman" w:hAnsi="Times New Roman"/>
          <w:highlight w:val="none"/>
        </w:rPr>
        <w:fldChar w:fldCharType="separate"/>
      </w:r>
      <w:r>
        <w:rPr>
          <w:rFonts w:ascii="Times New Roman" w:hAnsi="Times New Roman"/>
          <w:highlight w:val="none"/>
        </w:rPr>
        <w:t>2</w:t>
      </w:r>
      <w:r>
        <w:rPr>
          <w:rFonts w:ascii="Times New Roman" w:hAnsi="Times New Roman"/>
          <w:highlight w:val="none"/>
        </w:rPr>
        <w:fldChar w:fldCharType="end"/>
      </w:r>
      <w:r>
        <w:rPr>
          <w:rFonts w:ascii="Times New Roman" w:hAnsi="Times New Roman"/>
          <w:highlight w:val="none"/>
        </w:rPr>
        <w:fldChar w:fldCharType="end"/>
      </w:r>
    </w:p>
    <w:p>
      <w:pPr>
        <w:pStyle w:val="20"/>
        <w:tabs>
          <w:tab w:val="right" w:leader="dot" w:pos="9344"/>
        </w:tabs>
        <w:rPr>
          <w:rFonts w:ascii="Times New Roman" w:hAnsi="Times New Roman" w:eastAsiaTheme="minorEastAsia"/>
          <w:szCs w:val="22"/>
          <w:highlight w:val="none"/>
        </w:rPr>
      </w:pPr>
      <w:r>
        <w:rPr>
          <w:highlight w:val="none"/>
        </w:rPr>
        <w:fldChar w:fldCharType="begin"/>
      </w:r>
      <w:r>
        <w:rPr>
          <w:highlight w:val="none"/>
        </w:rPr>
        <w:instrText xml:space="preserve"> HYPERLINK \l "_Toc104671592" </w:instrText>
      </w:r>
      <w:r>
        <w:rPr>
          <w:highlight w:val="none"/>
        </w:rPr>
        <w:fldChar w:fldCharType="separate"/>
      </w:r>
      <w:r>
        <w:rPr>
          <w:rStyle w:val="34"/>
          <w:rFonts w:ascii="Times New Roman"/>
          <w:highlight w:val="none"/>
        </w:rPr>
        <w:t>6 工业互联网平台企业安全防护级别的确定</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_Toc104671592 \h </w:instrText>
      </w:r>
      <w:r>
        <w:rPr>
          <w:rFonts w:ascii="Times New Roman" w:hAnsi="Times New Roman"/>
          <w:highlight w:val="none"/>
        </w:rPr>
        <w:fldChar w:fldCharType="separate"/>
      </w:r>
      <w:r>
        <w:rPr>
          <w:rFonts w:ascii="Times New Roman" w:hAnsi="Times New Roman"/>
          <w:highlight w:val="none"/>
        </w:rPr>
        <w:t>2</w:t>
      </w:r>
      <w:r>
        <w:rPr>
          <w:rFonts w:ascii="Times New Roman" w:hAnsi="Times New Roman"/>
          <w:highlight w:val="none"/>
        </w:rPr>
        <w:fldChar w:fldCharType="end"/>
      </w:r>
      <w:r>
        <w:rPr>
          <w:rFonts w:ascii="Times New Roman" w:hAnsi="Times New Roman"/>
          <w:highlight w:val="none"/>
        </w:rPr>
        <w:fldChar w:fldCharType="end"/>
      </w:r>
    </w:p>
    <w:p>
      <w:pPr>
        <w:pStyle w:val="20"/>
        <w:tabs>
          <w:tab w:val="right" w:leader="dot" w:pos="9344"/>
        </w:tabs>
        <w:rPr>
          <w:rFonts w:ascii="Times New Roman" w:hAnsi="Times New Roman" w:eastAsiaTheme="minorEastAsia"/>
          <w:szCs w:val="22"/>
          <w:highlight w:val="none"/>
        </w:rPr>
      </w:pPr>
      <w:r>
        <w:rPr>
          <w:highlight w:val="none"/>
        </w:rPr>
        <w:fldChar w:fldCharType="begin"/>
      </w:r>
      <w:r>
        <w:rPr>
          <w:highlight w:val="none"/>
        </w:rPr>
        <w:instrText xml:space="preserve"> HYPERLINK \l "_Toc104671593" </w:instrText>
      </w:r>
      <w:r>
        <w:rPr>
          <w:highlight w:val="none"/>
        </w:rPr>
        <w:fldChar w:fldCharType="separate"/>
      </w:r>
      <w:r>
        <w:rPr>
          <w:rStyle w:val="34"/>
          <w:rFonts w:ascii="Times New Roman"/>
          <w:highlight w:val="none"/>
        </w:rPr>
        <w:t>7 工业互联网平台企业安全防护要求</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_Toc104671593 \h </w:instrText>
      </w:r>
      <w:r>
        <w:rPr>
          <w:rFonts w:ascii="Times New Roman" w:hAnsi="Times New Roman"/>
          <w:highlight w:val="none"/>
        </w:rPr>
        <w:fldChar w:fldCharType="separate"/>
      </w:r>
      <w:r>
        <w:rPr>
          <w:rFonts w:ascii="Times New Roman" w:hAnsi="Times New Roman"/>
          <w:highlight w:val="none"/>
        </w:rPr>
        <w:t>3</w:t>
      </w:r>
      <w:r>
        <w:rPr>
          <w:rFonts w:ascii="Times New Roman" w:hAnsi="Times New Roman"/>
          <w:highlight w:val="none"/>
        </w:rPr>
        <w:fldChar w:fldCharType="end"/>
      </w:r>
      <w:r>
        <w:rPr>
          <w:rFonts w:ascii="Times New Roman" w:hAnsi="Times New Roman"/>
          <w:highlight w:val="none"/>
        </w:rPr>
        <w:fldChar w:fldCharType="end"/>
      </w:r>
    </w:p>
    <w:p>
      <w:pPr>
        <w:pStyle w:val="25"/>
        <w:rPr>
          <w:rFonts w:ascii="Times New Roman" w:hAnsi="Times New Roman" w:eastAsiaTheme="minorEastAsia"/>
          <w:szCs w:val="22"/>
          <w:highlight w:val="none"/>
        </w:rPr>
      </w:pPr>
      <w:r>
        <w:rPr>
          <w:highlight w:val="none"/>
        </w:rPr>
        <w:fldChar w:fldCharType="begin"/>
      </w:r>
      <w:r>
        <w:rPr>
          <w:highlight w:val="none"/>
        </w:rPr>
        <w:instrText xml:space="preserve"> HYPERLINK \l "_Toc104671594" </w:instrText>
      </w:r>
      <w:r>
        <w:rPr>
          <w:highlight w:val="none"/>
        </w:rPr>
        <w:fldChar w:fldCharType="separate"/>
      </w:r>
      <w:r>
        <w:rPr>
          <w:rStyle w:val="34"/>
          <w:rFonts w:ascii="Times New Roman"/>
          <w:highlight w:val="none"/>
          <w14:scene3d w14:prst="orthographicFront">
            <w14:lightRig w14:rig="threePt" w14:dir="t">
              <w14:rot w14:lat="0" w14:lon="0" w14:rev="0"/>
            </w14:lightRig>
          </w14:scene3d>
        </w:rPr>
        <w:t>7.1</w:t>
      </w:r>
      <w:r>
        <w:rPr>
          <w:rStyle w:val="34"/>
          <w:rFonts w:ascii="Times New Roman"/>
          <w:highlight w:val="none"/>
        </w:rPr>
        <w:t xml:space="preserve"> 基本级防护要求</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_Toc104671594 \h </w:instrText>
      </w:r>
      <w:r>
        <w:rPr>
          <w:rFonts w:ascii="Times New Roman" w:hAnsi="Times New Roman"/>
          <w:highlight w:val="none"/>
        </w:rPr>
        <w:fldChar w:fldCharType="separate"/>
      </w:r>
      <w:r>
        <w:rPr>
          <w:rFonts w:ascii="Times New Roman" w:hAnsi="Times New Roman"/>
          <w:highlight w:val="none"/>
        </w:rPr>
        <w:t>3</w:t>
      </w:r>
      <w:r>
        <w:rPr>
          <w:rFonts w:ascii="Times New Roman" w:hAnsi="Times New Roman"/>
          <w:highlight w:val="none"/>
        </w:rPr>
        <w:fldChar w:fldCharType="end"/>
      </w:r>
      <w:r>
        <w:rPr>
          <w:rFonts w:ascii="Times New Roman" w:hAnsi="Times New Roman"/>
          <w:highlight w:val="none"/>
        </w:rPr>
        <w:fldChar w:fldCharType="end"/>
      </w:r>
    </w:p>
    <w:p>
      <w:pPr>
        <w:pStyle w:val="25"/>
        <w:rPr>
          <w:rFonts w:ascii="Times New Roman" w:hAnsi="Times New Roman" w:eastAsiaTheme="minorEastAsia"/>
          <w:szCs w:val="22"/>
          <w:highlight w:val="none"/>
        </w:rPr>
      </w:pPr>
      <w:r>
        <w:rPr>
          <w:highlight w:val="none"/>
        </w:rPr>
        <w:fldChar w:fldCharType="begin"/>
      </w:r>
      <w:r>
        <w:rPr>
          <w:highlight w:val="none"/>
        </w:rPr>
        <w:instrText xml:space="preserve"> HYPERLINK \l "_Toc104671595" </w:instrText>
      </w:r>
      <w:r>
        <w:rPr>
          <w:highlight w:val="none"/>
        </w:rPr>
        <w:fldChar w:fldCharType="separate"/>
      </w:r>
      <w:r>
        <w:rPr>
          <w:rStyle w:val="34"/>
          <w:rFonts w:ascii="Times New Roman"/>
          <w:highlight w:val="none"/>
          <w14:scene3d w14:prst="orthographicFront">
            <w14:lightRig w14:rig="threePt" w14:dir="t">
              <w14:rot w14:lat="0" w14:lon="0" w14:rev="0"/>
            </w14:lightRig>
          </w14:scene3d>
        </w:rPr>
        <w:t>7.2</w:t>
      </w:r>
      <w:r>
        <w:rPr>
          <w:rStyle w:val="34"/>
          <w:rFonts w:ascii="Times New Roman"/>
          <w:highlight w:val="none"/>
        </w:rPr>
        <w:t xml:space="preserve"> 增强级防护要求</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_Toc104671595 \h </w:instrText>
      </w:r>
      <w:r>
        <w:rPr>
          <w:rFonts w:ascii="Times New Roman" w:hAnsi="Times New Roman"/>
          <w:highlight w:val="none"/>
        </w:rPr>
        <w:fldChar w:fldCharType="separate"/>
      </w:r>
      <w:r>
        <w:rPr>
          <w:rFonts w:ascii="Times New Roman" w:hAnsi="Times New Roman"/>
          <w:highlight w:val="none"/>
        </w:rPr>
        <w:t>17</w:t>
      </w:r>
      <w:r>
        <w:rPr>
          <w:rFonts w:ascii="Times New Roman" w:hAnsi="Times New Roman"/>
          <w:highlight w:val="none"/>
        </w:rPr>
        <w:fldChar w:fldCharType="end"/>
      </w:r>
      <w:r>
        <w:rPr>
          <w:rFonts w:ascii="Times New Roman" w:hAnsi="Times New Roman"/>
          <w:highlight w:val="none"/>
        </w:rPr>
        <w:fldChar w:fldCharType="end"/>
      </w:r>
    </w:p>
    <w:p>
      <w:pPr>
        <w:pStyle w:val="20"/>
        <w:tabs>
          <w:tab w:val="right" w:leader="dot" w:pos="9344"/>
        </w:tabs>
        <w:rPr>
          <w:rFonts w:ascii="Times New Roman" w:hAnsi="Times New Roman" w:eastAsiaTheme="minorEastAsia"/>
          <w:szCs w:val="22"/>
          <w:highlight w:val="none"/>
        </w:rPr>
      </w:pPr>
      <w:r>
        <w:rPr>
          <w:highlight w:val="none"/>
        </w:rPr>
        <w:fldChar w:fldCharType="begin"/>
      </w:r>
      <w:r>
        <w:rPr>
          <w:highlight w:val="none"/>
        </w:rPr>
        <w:instrText xml:space="preserve"> HYPERLINK \l "_Toc104671596" </w:instrText>
      </w:r>
      <w:r>
        <w:rPr>
          <w:highlight w:val="none"/>
        </w:rPr>
        <w:fldChar w:fldCharType="separate"/>
      </w:r>
      <w:r>
        <w:rPr>
          <w:rStyle w:val="34"/>
          <w:rFonts w:ascii="Times New Roman"/>
          <w:spacing w:val="105"/>
          <w:highlight w:val="none"/>
        </w:rPr>
        <w:t>参考文</w:t>
      </w:r>
      <w:r>
        <w:rPr>
          <w:rStyle w:val="34"/>
          <w:rFonts w:ascii="Times New Roman"/>
          <w:highlight w:val="none"/>
        </w:rPr>
        <w:t>献</w:t>
      </w:r>
      <w:r>
        <w:rPr>
          <w:rFonts w:ascii="Times New Roman" w:hAnsi="Times New Roman"/>
          <w:highlight w:val="none"/>
        </w:rPr>
        <w:tab/>
      </w:r>
      <w:r>
        <w:rPr>
          <w:rFonts w:ascii="Times New Roman" w:hAnsi="Times New Roman"/>
          <w:highlight w:val="none"/>
        </w:rPr>
        <w:fldChar w:fldCharType="begin"/>
      </w:r>
      <w:r>
        <w:rPr>
          <w:rFonts w:ascii="Times New Roman" w:hAnsi="Times New Roman"/>
          <w:highlight w:val="none"/>
        </w:rPr>
        <w:instrText xml:space="preserve"> PAGEREF _Toc104671596 \h </w:instrText>
      </w:r>
      <w:r>
        <w:rPr>
          <w:rFonts w:ascii="Times New Roman" w:hAnsi="Times New Roman"/>
          <w:highlight w:val="none"/>
        </w:rPr>
        <w:fldChar w:fldCharType="separate"/>
      </w:r>
      <w:r>
        <w:rPr>
          <w:rFonts w:ascii="Times New Roman" w:hAnsi="Times New Roman"/>
          <w:highlight w:val="none"/>
        </w:rPr>
        <w:t>27</w:t>
      </w:r>
      <w:r>
        <w:rPr>
          <w:rFonts w:ascii="Times New Roman" w:hAnsi="Times New Roman"/>
          <w:highlight w:val="none"/>
        </w:rPr>
        <w:fldChar w:fldCharType="end"/>
      </w:r>
      <w:r>
        <w:rPr>
          <w:rFonts w:ascii="Times New Roman" w:hAnsi="Times New Roman"/>
          <w:highlight w:val="none"/>
        </w:rPr>
        <w:fldChar w:fldCharType="end"/>
      </w:r>
    </w:p>
    <w:p>
      <w:pPr>
        <w:pStyle w:val="94"/>
        <w:spacing w:after="468"/>
        <w:rPr>
          <w:rFonts w:ascii="Times New Roman" w:hAnsi="Times New Roman"/>
          <w:highlight w:val="none"/>
        </w:rPr>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r>
        <w:rPr>
          <w:rFonts w:ascii="Times New Roman" w:hAnsi="Times New Roman"/>
          <w:highlight w:val="none"/>
        </w:rPr>
        <w:fldChar w:fldCharType="end"/>
      </w:r>
    </w:p>
    <w:bookmarkEnd w:id="17"/>
    <w:p>
      <w:pPr>
        <w:pStyle w:val="92"/>
        <w:spacing w:after="468"/>
        <w:rPr>
          <w:rFonts w:ascii="Times New Roman"/>
          <w:highlight w:val="none"/>
        </w:rPr>
      </w:pPr>
      <w:bookmarkStart w:id="20" w:name="_Toc104671585"/>
      <w:bookmarkStart w:id="21" w:name="_Toc102992502"/>
      <w:bookmarkStart w:id="22" w:name="BookMark2"/>
      <w:r>
        <w:rPr>
          <w:rFonts w:ascii="Times New Roman"/>
          <w:spacing w:val="320"/>
          <w:highlight w:val="none"/>
        </w:rPr>
        <w:t>前</w:t>
      </w:r>
      <w:r>
        <w:rPr>
          <w:rFonts w:ascii="Times New Roman"/>
          <w:highlight w:val="none"/>
        </w:rPr>
        <w:t>言</w:t>
      </w:r>
      <w:bookmarkEnd w:id="18"/>
      <w:bookmarkEnd w:id="19"/>
      <w:bookmarkEnd w:id="20"/>
      <w:bookmarkEnd w:id="21"/>
    </w:p>
    <w:p>
      <w:pPr>
        <w:pStyle w:val="59"/>
        <w:ind w:firstLine="420"/>
        <w:rPr>
          <w:rFonts w:ascii="Times New Roman"/>
          <w:highlight w:val="none"/>
        </w:rPr>
      </w:pPr>
      <w:r>
        <w:rPr>
          <w:rFonts w:ascii="Times New Roman"/>
          <w:highlight w:val="none"/>
        </w:rPr>
        <w:t>本文件按照GB/T 1.1—2020《标准化工作导则  第1部分：标准化文件的结构和起草规则》的规定起草。</w:t>
      </w:r>
    </w:p>
    <w:p>
      <w:pPr>
        <w:pStyle w:val="59"/>
        <w:ind w:firstLine="420"/>
        <w:rPr>
          <w:rFonts w:ascii="Times New Roman"/>
          <w:highlight w:val="none"/>
        </w:rPr>
      </w:pPr>
      <w:r>
        <w:rPr>
          <w:rFonts w:ascii="Times New Roman"/>
          <w:highlight w:val="none"/>
        </w:rPr>
        <w:t>本文件是GB/T xxx《工业互联网企业网络安全》的第3部分。</w:t>
      </w:r>
    </w:p>
    <w:p>
      <w:pPr>
        <w:pStyle w:val="59"/>
        <w:ind w:firstLine="420"/>
        <w:rPr>
          <w:rFonts w:ascii="Times New Roman"/>
          <w:highlight w:val="none"/>
        </w:rPr>
      </w:pPr>
      <w:r>
        <w:rPr>
          <w:rFonts w:ascii="Times New Roman"/>
          <w:highlight w:val="none"/>
        </w:rPr>
        <w:t>请注意本文件的某些内容可能涉及专利。本文件的发布机构不承担识别专利的责任。</w:t>
      </w:r>
    </w:p>
    <w:p>
      <w:pPr>
        <w:pStyle w:val="59"/>
        <w:ind w:firstLine="420"/>
        <w:rPr>
          <w:rFonts w:ascii="Times New Roman"/>
          <w:highlight w:val="none"/>
        </w:rPr>
      </w:pPr>
      <w:r>
        <w:rPr>
          <w:rFonts w:ascii="Times New Roman"/>
          <w:highlight w:val="none"/>
        </w:rPr>
        <w:t>本文件由中华人民共和国工业和信息化部提出。</w:t>
      </w:r>
    </w:p>
    <w:p>
      <w:pPr>
        <w:pStyle w:val="59"/>
        <w:ind w:firstLine="420"/>
        <w:rPr>
          <w:rFonts w:ascii="Times New Roman"/>
          <w:highlight w:val="none"/>
        </w:rPr>
      </w:pPr>
      <w:r>
        <w:rPr>
          <w:rFonts w:ascii="Times New Roman"/>
          <w:highlight w:val="none"/>
        </w:rPr>
        <w:t>本文件由全国通信标准化技术委员会（SAC/TC485）归口。</w:t>
      </w:r>
    </w:p>
    <w:p>
      <w:pPr>
        <w:pStyle w:val="59"/>
        <w:ind w:firstLine="420"/>
        <w:rPr>
          <w:rFonts w:ascii="Times New Roman"/>
          <w:highlight w:val="none"/>
        </w:rPr>
      </w:pPr>
      <w:r>
        <w:rPr>
          <w:rFonts w:ascii="Times New Roman"/>
          <w:highlight w:val="none"/>
        </w:rPr>
        <w:t>本文件起草单位：中国信息通信研究院、国家工业信息安全发展研究中心、中国电子信息产业发展研究院、中国工业互联网研究院、中国电子技术标准化研究院、北京航空航天大学、上海宝信软件股份有限公司、海尔卡奥斯物联生态科技有限公司、腾讯云计算北京有限责任公司、奇安信科技集团股份有限公司、杭州安恒信息技术股份有限公司、北京天融信网络安全技术有限公司、南京中新赛克科技有限责任公司、国能大渡河流域水电开发有限公司、郑州信大捷安信息技术股份有限公司、北京珞安科技有限责任公司、富士康工业互联网股份有限公司、国网河南省电力公司、国网电商科技有限公司、北京六方云信息技术有限公司、北京神州绿盟科技有限公司、北京启明星辰信息安全技术有限公司、北京升鑫网络科技有限公司、西安热工研究院有限公司、上海电器科学研究所（集团）有限公司、北京信安世纪科技股份有限公司。</w:t>
      </w:r>
    </w:p>
    <w:p>
      <w:pPr>
        <w:pStyle w:val="59"/>
        <w:ind w:firstLine="420"/>
        <w:rPr>
          <w:rFonts w:ascii="Times New Roman"/>
          <w:highlight w:val="none"/>
        </w:rPr>
      </w:pPr>
      <w:r>
        <w:rPr>
          <w:rFonts w:ascii="Times New Roman"/>
          <w:highlight w:val="none"/>
        </w:rPr>
        <w:t>本文件主要起草人：</w:t>
      </w:r>
    </w:p>
    <w:p>
      <w:pPr>
        <w:pStyle w:val="59"/>
        <w:ind w:firstLine="420"/>
        <w:rPr>
          <w:rFonts w:ascii="Times New Roman"/>
          <w:highlight w:val="none"/>
        </w:rPr>
      </w:pPr>
    </w:p>
    <w:p>
      <w:pPr>
        <w:pStyle w:val="59"/>
        <w:ind w:firstLine="420"/>
        <w:rPr>
          <w:rFonts w:ascii="Times New Roman"/>
          <w:highlight w:val="none"/>
        </w:rPr>
      </w:pPr>
    </w:p>
    <w:p>
      <w:pPr>
        <w:pStyle w:val="59"/>
        <w:ind w:firstLine="420"/>
        <w:rPr>
          <w:rFonts w:ascii="Times New Roman"/>
          <w:highlight w:val="none"/>
        </w:rPr>
        <w:sectPr>
          <w:pgSz w:w="11906" w:h="16838"/>
          <w:pgMar w:top="2410" w:right="1134" w:bottom="1134" w:left="1134" w:header="1418" w:footer="1134" w:gutter="284"/>
          <w:pgNumType w:fmt="upperRoman"/>
          <w:cols w:space="425" w:num="1"/>
          <w:formProt w:val="0"/>
          <w:docGrid w:type="lines" w:linePitch="312" w:charSpace="0"/>
        </w:sectPr>
      </w:pPr>
    </w:p>
    <w:bookmarkEnd w:id="22"/>
    <w:p>
      <w:pPr>
        <w:pStyle w:val="92"/>
        <w:spacing w:after="468"/>
        <w:rPr>
          <w:rFonts w:ascii="Times New Roman"/>
          <w:highlight w:val="none"/>
        </w:rPr>
      </w:pPr>
      <w:bookmarkStart w:id="23" w:name="_Toc104671586"/>
      <w:bookmarkStart w:id="24" w:name="BookMark3"/>
      <w:r>
        <w:rPr>
          <w:rFonts w:ascii="Times New Roman"/>
          <w:spacing w:val="320"/>
          <w:highlight w:val="none"/>
        </w:rPr>
        <w:t>引</w:t>
      </w:r>
      <w:r>
        <w:rPr>
          <w:rFonts w:ascii="Times New Roman"/>
          <w:highlight w:val="none"/>
        </w:rPr>
        <w:t>言</w:t>
      </w:r>
      <w:bookmarkEnd w:id="23"/>
    </w:p>
    <w:p>
      <w:pPr>
        <w:pStyle w:val="59"/>
        <w:ind w:firstLine="420"/>
        <w:rPr>
          <w:rFonts w:ascii="Times New Roman"/>
          <w:highlight w:val="none"/>
        </w:rPr>
      </w:pPr>
      <w:r>
        <w:rPr>
          <w:rFonts w:ascii="Times New Roman"/>
          <w:highlight w:val="none"/>
        </w:rPr>
        <w:t>工业互联网企业数量众多、信息化发展程度不同且承载业务类型相异，所属行业网络安全防护规律差异化明显，现有网络安全防护要求无法满足工业互联网企业发展实际需求，因此要实施工业互联网企业网络安全分类分级管理并编制相关标准。</w:t>
      </w:r>
    </w:p>
    <w:p>
      <w:pPr>
        <w:pStyle w:val="59"/>
        <w:ind w:firstLine="420"/>
        <w:rPr>
          <w:rFonts w:ascii="Times New Roman"/>
          <w:highlight w:val="none"/>
        </w:rPr>
      </w:pPr>
      <w:r>
        <w:rPr>
          <w:rFonts w:ascii="Times New Roman"/>
          <w:highlight w:val="none"/>
        </w:rPr>
        <w:t>GB/T XXXXX-XXXX 《工业互联网企业网络安全》标准作为工业和信息化部开展工业互联网企业网络安全分类分级管理工作的重要支撑，针对应用工业互联网的工业企业、工业互联网平台企业、工业互联网标识解析企业及企业数据安全，提出不同级别的网络安全管理及安全防护技术要求，指导企业落实与自身级别相适应安全防护措施，加强网络安全能力建设。</w:t>
      </w:r>
    </w:p>
    <w:p>
      <w:pPr>
        <w:pStyle w:val="59"/>
        <w:ind w:firstLine="420"/>
        <w:rPr>
          <w:rFonts w:ascii="Times New Roman"/>
          <w:highlight w:val="none"/>
        </w:rPr>
      </w:pPr>
      <w:r>
        <w:rPr>
          <w:rFonts w:ascii="Times New Roman"/>
          <w:highlight w:val="none"/>
        </w:rPr>
        <w:t>GB/T XXXXX-XXXX 《工业互联网企业网络安全》标准拟由4部分构成：</w:t>
      </w:r>
    </w:p>
    <w:p>
      <w:pPr>
        <w:pStyle w:val="59"/>
        <w:ind w:firstLine="420"/>
        <w:rPr>
          <w:rFonts w:ascii="Times New Roman"/>
          <w:highlight w:val="none"/>
        </w:rPr>
      </w:pPr>
      <w:r>
        <w:rPr>
          <w:rFonts w:ascii="Times New Roman"/>
          <w:highlight w:val="none"/>
        </w:rPr>
        <w:t>第1部分：应用工业互联网的工业企业防护要求</w:t>
      </w:r>
    </w:p>
    <w:p>
      <w:pPr>
        <w:pStyle w:val="59"/>
        <w:ind w:firstLine="420"/>
        <w:rPr>
          <w:rFonts w:ascii="Times New Roman"/>
          <w:highlight w:val="none"/>
        </w:rPr>
      </w:pPr>
      <w:r>
        <w:rPr>
          <w:rFonts w:ascii="Times New Roman"/>
          <w:highlight w:val="none"/>
        </w:rPr>
        <w:t>第2部分：平台企业防护要求</w:t>
      </w:r>
    </w:p>
    <w:p>
      <w:pPr>
        <w:pStyle w:val="59"/>
        <w:ind w:firstLine="420"/>
        <w:rPr>
          <w:rFonts w:ascii="Times New Roman"/>
          <w:highlight w:val="none"/>
        </w:rPr>
      </w:pPr>
      <w:r>
        <w:rPr>
          <w:rFonts w:ascii="Times New Roman"/>
          <w:highlight w:val="none"/>
        </w:rPr>
        <w:t>第3部分：标识解析企业防护要求</w:t>
      </w:r>
    </w:p>
    <w:p>
      <w:pPr>
        <w:pStyle w:val="59"/>
        <w:ind w:firstLine="420"/>
        <w:rPr>
          <w:rFonts w:ascii="Times New Roman"/>
          <w:highlight w:val="none"/>
        </w:rPr>
      </w:pPr>
      <w:r>
        <w:rPr>
          <w:rFonts w:ascii="Times New Roman"/>
          <w:highlight w:val="none"/>
        </w:rPr>
        <w:t>第4部分：数据防护要求</w:t>
      </w:r>
    </w:p>
    <w:p>
      <w:pPr>
        <w:pStyle w:val="59"/>
        <w:ind w:firstLine="420"/>
        <w:rPr>
          <w:rFonts w:ascii="Times New Roman"/>
          <w:highlight w:val="none"/>
        </w:rPr>
      </w:pPr>
      <w:r>
        <w:rPr>
          <w:rFonts w:ascii="Times New Roman"/>
          <w:highlight w:val="none"/>
        </w:rPr>
        <w:t>本文件为工业互联网企业网络安全系列标准的第2部分。</w:t>
      </w:r>
    </w:p>
    <w:p>
      <w:pPr>
        <w:pStyle w:val="59"/>
        <w:ind w:firstLine="420"/>
        <w:rPr>
          <w:rFonts w:ascii="Times New Roman"/>
          <w:highlight w:val="none"/>
        </w:rPr>
      </w:pPr>
      <w:r>
        <w:rPr>
          <w:rFonts w:ascii="Times New Roman"/>
          <w:highlight w:val="none"/>
        </w:rPr>
        <w:t>本文件作为工业互联网企业网络安全分类分级管理支撑系列标准之一，面向工业互联网平台的建设和运营者，综合考虑安全技术和管理等各方面要求，提出了不同等级安全防护要求。协助有关部门掌握不同等级工业互联网平台企业业务现状以及面临的安全风险，为主管部门开展分类分级工作提供依据，指导企业落实与自身级别相适应安全防护措施，为工业互联网平台企业建设、运营及强化网络安全防护能力奠定基础，提升工业互联网安全保障能力。</w:t>
      </w:r>
    </w:p>
    <w:p>
      <w:pPr>
        <w:pStyle w:val="59"/>
        <w:ind w:firstLine="420"/>
        <w:rPr>
          <w:rFonts w:ascii="Times New Roman"/>
          <w:highlight w:val="none"/>
        </w:rPr>
      </w:pPr>
    </w:p>
    <w:p>
      <w:pPr>
        <w:pStyle w:val="59"/>
        <w:ind w:firstLine="420"/>
        <w:rPr>
          <w:rFonts w:ascii="Times New Roman"/>
          <w:highlight w:val="none"/>
        </w:rPr>
        <w:sectPr>
          <w:pgSz w:w="11906" w:h="16838"/>
          <w:pgMar w:top="2410"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Times New Roman" w:hAnsi="Times New Roman" w:eastAsia="黑体"/>
          <w:sz w:val="32"/>
          <w:szCs w:val="32"/>
          <w:highlight w:val="none"/>
        </w:rPr>
      </w:pPr>
      <w:bookmarkStart w:id="25" w:name="BookMark4"/>
    </w:p>
    <w:p>
      <w:pPr>
        <w:spacing w:line="20" w:lineRule="exact"/>
        <w:jc w:val="center"/>
        <w:rPr>
          <w:rFonts w:ascii="Times New Roman" w:hAnsi="Times New Roman" w:eastAsia="黑体"/>
          <w:sz w:val="32"/>
          <w:szCs w:val="32"/>
          <w:highlight w:val="none"/>
        </w:rPr>
      </w:pPr>
    </w:p>
    <w:sdt>
      <w:sdtPr>
        <w:rPr>
          <w:rFonts w:ascii="Times New Roman" w:hAnsi="Times New Roman"/>
          <w:highlight w:val="none"/>
        </w:rPr>
        <w:tag w:val="NEW_STAND_NAME"/>
        <w:id w:val="595910757"/>
        <w:lock w:val="sdtLocked"/>
        <w:placeholder>
          <w:docPart w:val="C1B8D86DE5654898BA973FD44F603FA3"/>
        </w:placeholder>
      </w:sdtPr>
      <w:sdtEndPr>
        <w:rPr>
          <w:rFonts w:ascii="Times New Roman" w:hAnsi="Times New Roman"/>
          <w:highlight w:val="none"/>
        </w:rPr>
      </w:sdtEndPr>
      <w:sdtContent>
        <w:p>
          <w:pPr>
            <w:pStyle w:val="180"/>
            <w:spacing w:before="3" w:beforeLines="1" w:after="3" w:afterLines="1"/>
            <w:rPr>
              <w:rFonts w:ascii="Times New Roman" w:hAnsi="Times New Roman"/>
              <w:highlight w:val="none"/>
            </w:rPr>
          </w:pPr>
          <w:bookmarkStart w:id="26" w:name="NEW_STAND_NAME"/>
        </w:p>
        <w:p>
          <w:pPr>
            <w:pStyle w:val="180"/>
            <w:spacing w:before="3" w:beforeLines="1" w:after="680"/>
            <w:rPr>
              <w:rFonts w:ascii="Times New Roman" w:hAnsi="Times New Roman"/>
              <w:highlight w:val="none"/>
            </w:rPr>
          </w:pPr>
          <w:r>
            <w:rPr>
              <w:rFonts w:ascii="Times New Roman" w:hAnsi="Times New Roman"/>
              <w:highlight w:val="none"/>
            </w:rPr>
            <w:t>工业互联网企业网络安全 第2部分：平台企业防护要求</w:t>
          </w:r>
        </w:p>
      </w:sdtContent>
    </w:sdt>
    <w:bookmarkEnd w:id="26"/>
    <w:p>
      <w:pPr>
        <w:pStyle w:val="107"/>
        <w:spacing w:before="312" w:after="312"/>
        <w:rPr>
          <w:rFonts w:ascii="Times New Roman"/>
          <w:highlight w:val="none"/>
        </w:rPr>
      </w:pPr>
      <w:bookmarkStart w:id="27" w:name="_Toc102984532"/>
      <w:bookmarkStart w:id="28" w:name="_Toc104671587"/>
      <w:bookmarkStart w:id="29" w:name="_Toc102992473"/>
      <w:bookmarkStart w:id="30" w:name="_Toc102984297"/>
      <w:r>
        <w:rPr>
          <w:rFonts w:ascii="Times New Roman"/>
          <w:highlight w:val="none"/>
        </w:rPr>
        <w:t>范围</w:t>
      </w:r>
      <w:bookmarkEnd w:id="27"/>
      <w:bookmarkEnd w:id="28"/>
      <w:bookmarkEnd w:id="29"/>
      <w:bookmarkEnd w:id="30"/>
    </w:p>
    <w:p>
      <w:pPr>
        <w:pStyle w:val="59"/>
        <w:ind w:firstLine="420"/>
        <w:rPr>
          <w:rFonts w:ascii="Times New Roman"/>
          <w:highlight w:val="none"/>
        </w:rPr>
      </w:pPr>
      <w:r>
        <w:rPr>
          <w:rFonts w:ascii="Times New Roman"/>
          <w:highlight w:val="none"/>
        </w:rPr>
        <w:t>本文件规定了工业互联网平台企业网络安全防护的范围和内容，针对工业互联网平台企业提出不同等级安全防护要求，内容包括工业互联网平台的接入层安全、基础设施层安全、平台层安全、应用层安全、数据安全、安全管理以及物理和环境安全。</w:t>
      </w:r>
    </w:p>
    <w:p>
      <w:pPr>
        <w:pStyle w:val="59"/>
        <w:ind w:firstLine="420"/>
        <w:rPr>
          <w:rFonts w:ascii="Times New Roman"/>
          <w:highlight w:val="none"/>
        </w:rPr>
      </w:pPr>
      <w:r>
        <w:rPr>
          <w:rFonts w:ascii="Times New Roman"/>
          <w:highlight w:val="none"/>
        </w:rPr>
        <w:t>本文件适用于工业互联平台企业开展工业互联网企业网络安全分类分级防护工作。</w:t>
      </w:r>
    </w:p>
    <w:p>
      <w:pPr>
        <w:pStyle w:val="107"/>
        <w:spacing w:before="312" w:after="312"/>
        <w:rPr>
          <w:rFonts w:ascii="Times New Roman"/>
          <w:highlight w:val="none"/>
        </w:rPr>
      </w:pPr>
      <w:bookmarkStart w:id="31" w:name="_Toc104671588"/>
      <w:bookmarkStart w:id="32" w:name="_Toc102984533"/>
      <w:bookmarkStart w:id="33" w:name="_Toc102992474"/>
      <w:bookmarkStart w:id="34" w:name="_Toc26986531"/>
      <w:bookmarkStart w:id="35" w:name="_Toc102984298"/>
      <w:bookmarkStart w:id="36" w:name="_Toc26986772"/>
      <w:bookmarkStart w:id="37" w:name="_Toc26718931"/>
      <w:r>
        <w:rPr>
          <w:rFonts w:ascii="Times New Roman"/>
          <w:highlight w:val="none"/>
        </w:rPr>
        <w:t>规范性引用文件</w:t>
      </w:r>
      <w:bookmarkEnd w:id="31"/>
      <w:bookmarkEnd w:id="32"/>
      <w:bookmarkEnd w:id="33"/>
      <w:bookmarkEnd w:id="34"/>
      <w:bookmarkEnd w:id="35"/>
      <w:bookmarkEnd w:id="36"/>
      <w:bookmarkEnd w:id="37"/>
    </w:p>
    <w:sdt>
      <w:sdtPr>
        <w:rPr>
          <w:rFonts w:ascii="Times New Roman"/>
          <w:highlight w:val="none"/>
        </w:rPr>
        <w:id w:val="715848253"/>
        <w:placeholder>
          <w:docPart w:val="F8C27F1D06014003B8052EBF81CD1D6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ascii="Times New Roman"/>
          <w:highlight w:val="none"/>
        </w:rPr>
      </w:sdtEndPr>
      <w:sdtContent>
        <w:p>
          <w:pPr>
            <w:pStyle w:val="59"/>
            <w:ind w:firstLine="420"/>
            <w:rPr>
              <w:rFonts w:ascii="Times New Roman"/>
              <w:highlight w:val="none"/>
            </w:rPr>
          </w:pPr>
          <w:r>
            <w:rPr>
              <w:rFonts w:ascii="Times New Roman"/>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tbl>
      <w:tblPr>
        <w:tblStyle w:val="232"/>
        <w:tblW w:w="0" w:type="auto"/>
        <w:tblInd w:w="34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01"/>
        <w:gridCol w:w="54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2301"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GB/T 22239-2019</w:t>
            </w:r>
          </w:p>
        </w:tc>
        <w:tc>
          <w:tcPr>
            <w:tcW w:w="5439"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信息安全技术</w:t>
            </w:r>
            <w:r>
              <w:rPr>
                <w:rFonts w:ascii="Times New Roman" w:hAnsi="Times New Roman" w:eastAsia="Times New Roman"/>
                <w:kern w:val="0"/>
                <w:highlight w:val="none"/>
              </w:rPr>
              <w:t xml:space="preserve"> </w:t>
            </w:r>
            <w:r>
              <w:rPr>
                <w:rFonts w:hint="eastAsia" w:ascii="宋体" w:hAnsi="宋体" w:eastAsia="宋体" w:cs="宋体"/>
                <w:kern w:val="0"/>
                <w:highlight w:val="none"/>
              </w:rPr>
              <w:t>网络安全等级保护基本要求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2301"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GB/T 25069-2022</w:t>
            </w:r>
          </w:p>
        </w:tc>
        <w:tc>
          <w:tcPr>
            <w:tcW w:w="5439"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信息安全技术</w:t>
            </w:r>
            <w:r>
              <w:rPr>
                <w:rFonts w:ascii="Times New Roman" w:hAnsi="Times New Roman" w:eastAsia="Times New Roman"/>
                <w:kern w:val="0"/>
                <w:highlight w:val="none"/>
              </w:rPr>
              <w:t xml:space="preserve"> </w:t>
            </w:r>
            <w:r>
              <w:rPr>
                <w:rFonts w:hint="eastAsia" w:ascii="宋体" w:hAnsi="宋体" w:eastAsia="宋体" w:cs="宋体"/>
                <w:kern w:val="0"/>
                <w:highlight w:val="none"/>
              </w:rPr>
              <w:t>术语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2301"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GB 50174-2017</w:t>
            </w:r>
          </w:p>
        </w:tc>
        <w:tc>
          <w:tcPr>
            <w:tcW w:w="5439"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数据中心设计规范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3" w:hRule="atLeast"/>
        </w:trPr>
        <w:tc>
          <w:tcPr>
            <w:tcW w:w="2301"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 xml:space="preserve">GB/T </w:t>
            </w:r>
            <w:r>
              <w:rPr>
                <w:rFonts w:ascii="Times New Roman" w:hAnsi="Times New Roman" w:eastAsiaTheme="minorEastAsia"/>
                <w:kern w:val="0"/>
                <w:highlight w:val="none"/>
              </w:rPr>
              <w:t>XXXXX-XXXX</w:t>
            </w:r>
          </w:p>
        </w:tc>
        <w:tc>
          <w:tcPr>
            <w:tcW w:w="5439"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工业互联网企业网络安全</w:t>
            </w:r>
            <w:r>
              <w:rPr>
                <w:rFonts w:ascii="Times New Roman" w:hAnsi="Times New Roman" w:eastAsia="Times New Roman"/>
                <w:kern w:val="0"/>
                <w:highlight w:val="none"/>
              </w:rPr>
              <w:t xml:space="preserve"> </w:t>
            </w:r>
            <w:r>
              <w:rPr>
                <w:rFonts w:hint="eastAsia" w:ascii="宋体" w:hAnsi="宋体" w:eastAsia="宋体" w:cs="宋体"/>
                <w:kern w:val="0"/>
                <w:highlight w:val="none"/>
              </w:rPr>
              <w:t>第</w:t>
            </w:r>
            <w:r>
              <w:rPr>
                <w:rFonts w:ascii="Times New Roman" w:hAnsi="Times New Roman" w:eastAsiaTheme="minorEastAsia"/>
                <w:kern w:val="0"/>
                <w:highlight w:val="none"/>
              </w:rPr>
              <w:t>4</w:t>
            </w:r>
            <w:r>
              <w:rPr>
                <w:rFonts w:hint="eastAsia" w:ascii="宋体" w:hAnsi="宋体" w:eastAsia="宋体" w:cs="宋体"/>
                <w:kern w:val="0"/>
                <w:highlight w:val="none"/>
              </w:rPr>
              <w:t>部分：数据安全防护要求</w:t>
            </w:r>
          </w:p>
        </w:tc>
      </w:tr>
    </w:tbl>
    <w:p>
      <w:pPr>
        <w:pStyle w:val="107"/>
        <w:spacing w:before="312" w:after="312"/>
        <w:rPr>
          <w:rFonts w:ascii="Times New Roman"/>
          <w:highlight w:val="none"/>
        </w:rPr>
      </w:pPr>
      <w:bookmarkStart w:id="38" w:name="_Toc102984534"/>
      <w:bookmarkStart w:id="39" w:name="_Toc102984299"/>
      <w:bookmarkStart w:id="40" w:name="_Toc102992475"/>
      <w:bookmarkStart w:id="41" w:name="_Toc104671589"/>
      <w:r>
        <w:rPr>
          <w:rFonts w:ascii="Times New Roman"/>
          <w:highlight w:val="none"/>
        </w:rPr>
        <w:t>术语和定义</w:t>
      </w:r>
      <w:bookmarkEnd w:id="38"/>
      <w:bookmarkEnd w:id="39"/>
      <w:bookmarkEnd w:id="40"/>
      <w:bookmarkEnd w:id="41"/>
    </w:p>
    <w:sdt>
      <w:sdtPr>
        <w:rPr>
          <w:rFonts w:ascii="Times New Roman"/>
          <w:highlight w:val="none"/>
        </w:rPr>
        <w:id w:val="-1909835108"/>
        <w:placeholder>
          <w:docPart w:val="F8C27F1D06014003B8052EBF81CD1D6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ascii="Times New Roman"/>
          <w:highlight w:val="none"/>
        </w:rPr>
      </w:sdtEndPr>
      <w:sdtContent>
        <w:p>
          <w:pPr>
            <w:pStyle w:val="59"/>
            <w:ind w:firstLine="420"/>
            <w:rPr>
              <w:rFonts w:ascii="Times New Roman"/>
              <w:highlight w:val="none"/>
            </w:rPr>
          </w:pPr>
          <w:bookmarkStart w:id="42" w:name="_Toc26986532"/>
          <w:bookmarkEnd w:id="42"/>
          <w:r>
            <w:rPr>
              <w:rFonts w:ascii="Times New Roman"/>
              <w:highlight w:val="none"/>
            </w:rPr>
            <w:t>GB/T 25069-2022、GB/T 22239-2019界定的以及下列术语和定义适用于本文件。</w:t>
          </w:r>
        </w:p>
      </w:sdtContent>
    </w:sdt>
    <w:p>
      <w:pPr>
        <w:pStyle w:val="226"/>
        <w:ind w:left="420" w:hanging="420" w:hangingChars="200"/>
        <w:rPr>
          <w:rFonts w:ascii="Times New Roman" w:eastAsia="黑体"/>
          <w:highlight w:val="none"/>
        </w:rPr>
      </w:pPr>
      <w:r>
        <w:rPr>
          <w:rFonts w:ascii="Times New Roman" w:eastAsia="黑体"/>
          <w:highlight w:val="none"/>
        </w:rPr>
        <w:br w:type="textWrapping"/>
      </w:r>
      <w:r>
        <w:rPr>
          <w:rFonts w:ascii="Times New Roman" w:eastAsia="黑体"/>
          <w:highlight w:val="none"/>
        </w:rPr>
        <w:t>工业互联网平台企业 Industrial Internet platform enterprise</w:t>
      </w:r>
    </w:p>
    <w:p>
      <w:pPr>
        <w:pStyle w:val="59"/>
        <w:ind w:firstLine="420"/>
        <w:rPr>
          <w:rFonts w:ascii="Times New Roman"/>
          <w:highlight w:val="none"/>
        </w:rPr>
      </w:pPr>
      <w:r>
        <w:rPr>
          <w:rFonts w:ascii="Times New Roman"/>
          <w:highlight w:val="none"/>
        </w:rPr>
        <w:t>包括工业互联网平台的建设者和运营者。</w:t>
      </w:r>
    </w:p>
    <w:p>
      <w:pPr>
        <w:pStyle w:val="226"/>
        <w:ind w:left="420" w:hanging="420" w:hangingChars="200"/>
        <w:rPr>
          <w:rFonts w:ascii="Times New Roman" w:eastAsia="黑体"/>
          <w:highlight w:val="none"/>
        </w:rPr>
      </w:pPr>
      <w:bookmarkStart w:id="43" w:name="_Toc102992480"/>
      <w:r>
        <w:rPr>
          <w:rFonts w:ascii="Times New Roman" w:eastAsia="黑体"/>
          <w:highlight w:val="none"/>
        </w:rPr>
        <w:br w:type="textWrapping"/>
      </w:r>
      <w:r>
        <w:rPr>
          <w:rFonts w:ascii="Times New Roman" w:eastAsia="黑体"/>
          <w:highlight w:val="none"/>
        </w:rPr>
        <w:t>安全防护  network security protection</w:t>
      </w:r>
    </w:p>
    <w:p>
      <w:pPr>
        <w:pStyle w:val="59"/>
        <w:ind w:firstLine="420"/>
        <w:rPr>
          <w:rFonts w:ascii="Times New Roman"/>
          <w:highlight w:val="none"/>
        </w:rPr>
      </w:pPr>
      <w:r>
        <w:rPr>
          <w:rFonts w:ascii="Times New Roman"/>
          <w:highlight w:val="none"/>
        </w:rPr>
        <w:t>通过技术和管理手段保护工业互联网平台企业相关系统的完整性、保密性</w:t>
      </w:r>
      <w:r>
        <w:rPr>
          <w:rFonts w:hint="eastAsia" w:ascii="Times New Roman"/>
          <w:highlight w:val="none"/>
        </w:rPr>
        <w:t>、</w:t>
      </w:r>
      <w:r>
        <w:rPr>
          <w:rFonts w:ascii="Times New Roman"/>
          <w:highlight w:val="none"/>
        </w:rPr>
        <w:t>可用性免受外部破坏。</w:t>
      </w:r>
    </w:p>
    <w:bookmarkEnd w:id="43"/>
    <w:p>
      <w:pPr>
        <w:pStyle w:val="226"/>
        <w:ind w:left="420" w:hanging="420" w:hangingChars="200"/>
        <w:rPr>
          <w:rFonts w:ascii="Times New Roman" w:eastAsia="黑体"/>
          <w:highlight w:val="none"/>
        </w:rPr>
      </w:pPr>
      <w:r>
        <w:rPr>
          <w:rFonts w:ascii="Times New Roman" w:eastAsia="黑体"/>
          <w:highlight w:val="none"/>
        </w:rPr>
        <w:br w:type="textWrapping"/>
      </w:r>
      <w:r>
        <w:rPr>
          <w:rFonts w:ascii="Times New Roman" w:eastAsia="黑体"/>
          <w:highlight w:val="none"/>
        </w:rPr>
        <w:t>网络安全 cybersecurity</w:t>
      </w:r>
    </w:p>
    <w:p>
      <w:pPr>
        <w:pStyle w:val="59"/>
        <w:ind w:firstLine="420"/>
        <w:rPr>
          <w:rFonts w:ascii="Times New Roman"/>
          <w:highlight w:val="none"/>
        </w:rPr>
      </w:pPr>
      <w:r>
        <w:rPr>
          <w:rFonts w:ascii="Times New Roman"/>
          <w:highlight w:val="none"/>
        </w:rPr>
        <w:t>通过采取必要措施，防范对网络的攻击、侵入、干扰、破坏和非法使用以及意外事故，使网络处于稳定可靠运行的状态，以及保障网络数据的完整性、保密性、可用性的能力。</w:t>
      </w:r>
    </w:p>
    <w:p>
      <w:pPr>
        <w:pStyle w:val="59"/>
        <w:ind w:firstLine="420"/>
        <w:rPr>
          <w:rFonts w:ascii="Times New Roman"/>
          <w:highlight w:val="none"/>
        </w:rPr>
      </w:pPr>
      <w:r>
        <w:rPr>
          <w:rFonts w:ascii="Times New Roman"/>
          <w:highlight w:val="none"/>
        </w:rPr>
        <w:t>[GB/T 22239-2019，定义3.1]</w:t>
      </w:r>
    </w:p>
    <w:p>
      <w:pPr>
        <w:pStyle w:val="226"/>
        <w:ind w:left="420" w:hanging="420" w:hangingChars="200"/>
        <w:rPr>
          <w:rFonts w:ascii="Times New Roman" w:eastAsia="黑体"/>
          <w:highlight w:val="none"/>
        </w:rPr>
      </w:pPr>
      <w:bookmarkStart w:id="44" w:name="_Toc102992481"/>
      <w:r>
        <w:rPr>
          <w:rFonts w:ascii="Times New Roman" w:eastAsia="黑体"/>
          <w:highlight w:val="none"/>
        </w:rPr>
        <w:br w:type="textWrapping"/>
      </w:r>
      <w:r>
        <w:rPr>
          <w:rFonts w:ascii="Times New Roman" w:eastAsia="黑体"/>
          <w:highlight w:val="none"/>
        </w:rPr>
        <w:t>工业APP industrial Internet application</w:t>
      </w:r>
      <w:bookmarkEnd w:id="44"/>
    </w:p>
    <w:p>
      <w:pPr>
        <w:pStyle w:val="59"/>
        <w:ind w:firstLine="420"/>
        <w:rPr>
          <w:rFonts w:ascii="Times New Roman"/>
          <w:highlight w:val="none"/>
        </w:rPr>
      </w:pPr>
      <w:r>
        <w:rPr>
          <w:rFonts w:ascii="Times New Roman"/>
          <w:highlight w:val="none"/>
        </w:rPr>
        <w:t>工业APP是基于工业互联网，承载工业知识和经验，满足特定需求的开放给第三方进行下载、安装、卸载的工业应用软件，是面向工业产品全生命周期相关业务（设计、生产、实验、使用、保障、交易、服务等）的需求把工业产品及相关技术过程中的知识、最佳实践及技术诀窍封装成的应用软件。工业APP不包括工控系统、工业设备终端的嵌入式软件。</w:t>
      </w:r>
    </w:p>
    <w:p>
      <w:pPr>
        <w:pStyle w:val="107"/>
        <w:spacing w:before="312" w:after="312"/>
        <w:rPr>
          <w:rFonts w:ascii="Times New Roman"/>
          <w:highlight w:val="none"/>
        </w:rPr>
      </w:pPr>
      <w:bookmarkStart w:id="45" w:name="_Toc102984538"/>
      <w:bookmarkStart w:id="46" w:name="_Toc102992482"/>
      <w:bookmarkStart w:id="47" w:name="_Toc104671590"/>
      <w:bookmarkStart w:id="48" w:name="_Toc102984303"/>
      <w:r>
        <w:rPr>
          <w:rFonts w:ascii="Times New Roman"/>
          <w:highlight w:val="none"/>
        </w:rPr>
        <w:t>缩略语</w:t>
      </w:r>
      <w:bookmarkEnd w:id="45"/>
      <w:bookmarkEnd w:id="46"/>
      <w:bookmarkEnd w:id="47"/>
      <w:bookmarkEnd w:id="48"/>
    </w:p>
    <w:p>
      <w:pPr>
        <w:pStyle w:val="59"/>
        <w:ind w:firstLine="420"/>
        <w:rPr>
          <w:rFonts w:ascii="Times New Roman"/>
          <w:highlight w:val="none"/>
        </w:rPr>
      </w:pPr>
      <w:r>
        <w:rPr>
          <w:rFonts w:ascii="Times New Roman"/>
          <w:highlight w:val="none"/>
        </w:rPr>
        <w:t>下列缩略语适用于本文件。</w:t>
      </w:r>
    </w:p>
    <w:tbl>
      <w:tblPr>
        <w:tblStyle w:val="23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0"/>
        <w:gridCol w:w="2835"/>
        <w:gridCol w:w="44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APP</w:t>
            </w:r>
          </w:p>
        </w:tc>
        <w:tc>
          <w:tcPr>
            <w:tcW w:w="2835"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应用程序</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Application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heme="minorEastAsia"/>
                <w:kern w:val="0"/>
                <w:highlight w:val="none"/>
              </w:rPr>
              <w:t>API</w:t>
            </w:r>
          </w:p>
        </w:tc>
        <w:tc>
          <w:tcPr>
            <w:tcW w:w="2835"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应用程序接口</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Application Programming Interface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ascii="Times New Roman" w:hAnsi="Times New Roman" w:eastAsiaTheme="minorEastAsia"/>
                <w:kern w:val="0"/>
                <w:highlight w:val="none"/>
              </w:rPr>
            </w:pPr>
            <w:r>
              <w:rPr>
                <w:rFonts w:ascii="Times New Roman" w:hAnsi="Times New Roman" w:eastAsia="Times New Roman"/>
                <w:kern w:val="0"/>
                <w:highlight w:val="none"/>
              </w:rPr>
              <w:t>CNVD</w:t>
            </w:r>
          </w:p>
        </w:tc>
        <w:tc>
          <w:tcPr>
            <w:tcW w:w="2835"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国家信息安全漏洞共享平台</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China National Vulnerability Database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ascii="Times New Roman" w:hAnsi="Times New Roman" w:eastAsiaTheme="minorEastAsia"/>
                <w:kern w:val="0"/>
                <w:highlight w:val="none"/>
              </w:rPr>
            </w:pPr>
            <w:r>
              <w:rPr>
                <w:rFonts w:ascii="Times New Roman" w:hAnsi="Times New Roman" w:eastAsia="Times New Roman"/>
                <w:kern w:val="0"/>
                <w:highlight w:val="none"/>
              </w:rPr>
              <w:t>CVE</w:t>
            </w:r>
          </w:p>
        </w:tc>
        <w:tc>
          <w:tcPr>
            <w:tcW w:w="2835"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公共漏洞和暴露</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Common Vulnerabilities &amp; Exposures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Times New Roman" w:hAnsi="Times New Roman" w:eastAsia="Times New Roman"/>
                <w:highlight w:val="none"/>
              </w:rPr>
              <w:t>CNNVD</w:t>
            </w:r>
          </w:p>
        </w:tc>
        <w:tc>
          <w:tcPr>
            <w:tcW w:w="2835" w:type="dxa"/>
          </w:tcPr>
          <w:p>
            <w:pPr>
              <w:widowControl/>
              <w:autoSpaceDE w:val="0"/>
              <w:autoSpaceDN w:val="0"/>
              <w:adjustRightInd/>
              <w:spacing w:line="240" w:lineRule="auto"/>
              <w:rPr>
                <w:rFonts w:hint="eastAsia" w:ascii="宋体" w:hAnsi="宋体" w:eastAsia="Times New Roman" w:cs="宋体"/>
                <w:kern w:val="0"/>
                <w:highlight w:val="none"/>
              </w:rPr>
            </w:pPr>
            <w:r>
              <w:rPr>
                <w:rFonts w:hint="eastAsia" w:ascii="宋体" w:hAnsi="宋体" w:eastAsia="Times New Roman" w:cs="宋体"/>
                <w:kern w:val="0"/>
                <w:highlight w:val="none"/>
              </w:rPr>
              <w:t>国家信息安全漏洞库</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Chinav National Vulnerability Database of Information Security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hint="eastAsia" w:ascii="Times New Roman" w:hAnsi="Times New Roman" w:eastAsia="Times New Roman"/>
                <w:highlight w:val="none"/>
              </w:rPr>
            </w:pPr>
            <w:r>
              <w:rPr>
                <w:rFonts w:ascii="Times New Roman" w:hAnsi="Times New Roman" w:eastAsia="Times New Roman"/>
                <w:kern w:val="0"/>
                <w:szCs w:val="20"/>
                <w:highlight w:val="none"/>
              </w:rPr>
              <w:t>CNCVE</w:t>
            </w:r>
          </w:p>
        </w:tc>
        <w:tc>
          <w:tcPr>
            <w:tcW w:w="2835" w:type="dxa"/>
          </w:tcPr>
          <w:p>
            <w:pPr>
              <w:widowControl/>
              <w:autoSpaceDE w:val="0"/>
              <w:autoSpaceDN w:val="0"/>
              <w:adjustRightInd/>
              <w:spacing w:line="240" w:lineRule="auto"/>
              <w:rPr>
                <w:rFonts w:hint="eastAsia" w:ascii="宋体" w:hAnsi="宋体" w:eastAsia="Times New Roman" w:cs="宋体"/>
                <w:kern w:val="0"/>
                <w:highlight w:val="none"/>
              </w:rPr>
            </w:pPr>
            <w:r>
              <w:rPr>
                <w:rFonts w:hint="eastAsia" w:ascii="宋体" w:hAnsi="宋体" w:eastAsia="Times New Roman" w:cs="宋体"/>
                <w:kern w:val="0"/>
                <w:highlight w:val="none"/>
              </w:rPr>
              <w:t>中国国家通用漏洞披露</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China National Common Vulnerabilities and Exposures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Times New Roman" w:hAnsi="Times New Roman" w:eastAsia="Times New Roman"/>
                <w:highlight w:val="none"/>
              </w:rPr>
              <w:t>CPU</w:t>
            </w:r>
          </w:p>
        </w:tc>
        <w:tc>
          <w:tcPr>
            <w:tcW w:w="2835" w:type="dxa"/>
          </w:tcPr>
          <w:p>
            <w:pPr>
              <w:widowControl/>
              <w:autoSpaceDE w:val="0"/>
              <w:autoSpaceDN w:val="0"/>
              <w:adjustRightInd/>
              <w:spacing w:line="240" w:lineRule="auto"/>
              <w:rPr>
                <w:rFonts w:hint="eastAsia" w:ascii="Times New Roman" w:hAnsi="Times New Roman" w:cs="宋体" w:eastAsiaTheme="minorEastAsia"/>
                <w:kern w:val="0"/>
                <w:highlight w:val="none"/>
              </w:rPr>
            </w:pPr>
            <w:r>
              <w:rPr>
                <w:rFonts w:hint="eastAsia" w:ascii="宋体" w:hAnsi="宋体" w:eastAsia="Times New Roman" w:cs="宋体"/>
                <w:kern w:val="0"/>
                <w:highlight w:val="none"/>
              </w:rPr>
              <w:t>中央处理器</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Theme="minorEastAsia" w:hAnsiTheme="minorEastAsia" w:eastAsiaTheme="minorEastAsia"/>
                <w:kern w:val="0"/>
                <w:highlight w:val="none"/>
              </w:rPr>
              <w:t>C</w:t>
            </w:r>
            <w:r>
              <w:rPr>
                <w:rFonts w:ascii="Times New Roman" w:hAnsi="Times New Roman" w:eastAsia="Times New Roman"/>
                <w:kern w:val="0"/>
                <w:highlight w:val="none"/>
              </w:rPr>
              <w:t xml:space="preserve">entral </w:t>
            </w:r>
            <w:r>
              <w:rPr>
                <w:rFonts w:hint="eastAsia" w:asciiTheme="minorEastAsia" w:hAnsiTheme="minorEastAsia" w:eastAsiaTheme="minorEastAsia"/>
                <w:kern w:val="0"/>
                <w:highlight w:val="none"/>
              </w:rPr>
              <w:t>P</w:t>
            </w:r>
            <w:r>
              <w:rPr>
                <w:rFonts w:ascii="Times New Roman" w:hAnsi="Times New Roman" w:eastAsia="Times New Roman"/>
                <w:kern w:val="0"/>
                <w:highlight w:val="none"/>
              </w:rPr>
              <w:t xml:space="preserve">rocessing </w:t>
            </w:r>
            <w:r>
              <w:rPr>
                <w:rFonts w:hint="eastAsia" w:asciiTheme="minorEastAsia" w:hAnsiTheme="minorEastAsia" w:eastAsiaTheme="minorEastAsia"/>
                <w:kern w:val="0"/>
                <w:highlight w:val="none"/>
              </w:rPr>
              <w:t>U</w:t>
            </w:r>
            <w:r>
              <w:rPr>
                <w:rFonts w:ascii="Times New Roman" w:hAnsi="Times New Roman" w:eastAsia="Times New Roman"/>
                <w:kern w:val="0"/>
                <w:highlight w:val="none"/>
              </w:rPr>
              <w:t>nit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hint="eastAsia" w:ascii="Times New Roman" w:hAnsi="Times New Roman" w:eastAsia="Times New Roman"/>
                <w:highlight w:val="none"/>
              </w:rPr>
            </w:pPr>
            <w:r>
              <w:rPr>
                <w:rFonts w:hint="eastAsia" w:ascii="Times New Roman" w:hAnsi="Times New Roman" w:eastAsia="Times New Roman"/>
                <w:highlight w:val="none"/>
              </w:rPr>
              <w:t>HTTP</w:t>
            </w:r>
          </w:p>
        </w:tc>
        <w:tc>
          <w:tcPr>
            <w:tcW w:w="2835" w:type="dxa"/>
          </w:tcPr>
          <w:p>
            <w:pPr>
              <w:widowControl/>
              <w:autoSpaceDE w:val="0"/>
              <w:autoSpaceDN w:val="0"/>
              <w:adjustRightInd/>
              <w:spacing w:line="240" w:lineRule="auto"/>
              <w:rPr>
                <w:rFonts w:hint="eastAsia" w:ascii="宋体" w:hAnsi="宋体" w:eastAsia="Times New Roman" w:cs="宋体"/>
                <w:kern w:val="0"/>
                <w:highlight w:val="none"/>
              </w:rPr>
            </w:pPr>
            <w:r>
              <w:rPr>
                <w:rFonts w:hint="eastAsia" w:ascii="宋体" w:hAnsi="宋体" w:eastAsia="Times New Roman" w:cs="宋体"/>
                <w:kern w:val="0"/>
                <w:highlight w:val="none"/>
              </w:rPr>
              <w:t>超文本传输协议</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Hyper Text Transfer Protocol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ascii="Times New Roman" w:hAnsi="Times New Roman" w:eastAsiaTheme="minorEastAsia"/>
                <w:kern w:val="0"/>
                <w:highlight w:val="none"/>
              </w:rPr>
            </w:pPr>
            <w:r>
              <w:rPr>
                <w:rFonts w:ascii="Times New Roman" w:hAnsi="Times New Roman" w:eastAsia="Times New Roman"/>
                <w:kern w:val="0"/>
                <w:highlight w:val="none"/>
              </w:rPr>
              <w:t>GRE</w:t>
            </w:r>
          </w:p>
        </w:tc>
        <w:tc>
          <w:tcPr>
            <w:tcW w:w="2835"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通用路由协议封装</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Generic Routing Encapsulation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PKI</w:t>
            </w:r>
          </w:p>
        </w:tc>
        <w:tc>
          <w:tcPr>
            <w:tcW w:w="2835" w:type="dxa"/>
          </w:tcPr>
          <w:p>
            <w:pPr>
              <w:widowControl/>
              <w:autoSpaceDE w:val="0"/>
              <w:autoSpaceDN w:val="0"/>
              <w:adjustRightInd/>
              <w:spacing w:line="240" w:lineRule="auto"/>
              <w:rPr>
                <w:rFonts w:hint="eastAsia" w:ascii="宋体" w:hAnsi="宋体" w:eastAsia="Times New Roman" w:cs="宋体"/>
                <w:kern w:val="0"/>
                <w:highlight w:val="none"/>
              </w:rPr>
            </w:pPr>
            <w:r>
              <w:rPr>
                <w:rFonts w:hint="eastAsia" w:ascii="宋体" w:hAnsi="宋体" w:eastAsia="Times New Roman" w:cs="宋体"/>
                <w:kern w:val="0"/>
                <w:highlight w:val="none"/>
              </w:rPr>
              <w:t>公钥基础设施</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Public Key Infrastructure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pStyle w:val="244"/>
              <w:rPr>
                <w:rFonts w:hint="eastAsia" w:ascii="Times New Roman" w:hAnsi="Times New Roman" w:eastAsia="Times New Roman"/>
                <w:highlight w:val="none"/>
              </w:rPr>
            </w:pPr>
            <w:r>
              <w:rPr>
                <w:rFonts w:ascii="Times New Roman" w:hAnsi="Times New Roman" w:eastAsia="Times New Roman"/>
                <w:highlight w:val="none"/>
              </w:rPr>
              <w:t>IP</w:t>
            </w:r>
          </w:p>
        </w:tc>
        <w:tc>
          <w:tcPr>
            <w:tcW w:w="2835" w:type="dxa"/>
          </w:tcPr>
          <w:p>
            <w:pPr>
              <w:widowControl/>
              <w:autoSpaceDE w:val="0"/>
              <w:autoSpaceDN w:val="0"/>
              <w:adjustRightInd/>
              <w:spacing w:line="240" w:lineRule="auto"/>
              <w:rPr>
                <w:rFonts w:hint="eastAsia" w:ascii="宋体" w:hAnsi="宋体" w:eastAsia="Times New Roman" w:cs="宋体"/>
                <w:kern w:val="0"/>
                <w:highlight w:val="none"/>
              </w:rPr>
            </w:pPr>
            <w:r>
              <w:rPr>
                <w:rFonts w:hint="eastAsia" w:ascii="宋体" w:hAnsi="宋体" w:eastAsia="宋体" w:cs="宋体"/>
                <w:kern w:val="0"/>
                <w:highlight w:val="none"/>
              </w:rPr>
              <w:t>网际互连协议</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Internet Protocol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jc w:val="center"/>
        </w:trPr>
        <w:tc>
          <w:tcPr>
            <w:tcW w:w="1010" w:type="dxa"/>
          </w:tcPr>
          <w:p>
            <w:pPr>
              <w:pStyle w:val="244"/>
              <w:rPr>
                <w:rFonts w:hint="eastAsia" w:ascii="Times New Roman" w:hAnsi="Times New Roman" w:eastAsia="Times New Roman"/>
                <w:highlight w:val="none"/>
              </w:rPr>
            </w:pPr>
            <w:r>
              <w:rPr>
                <w:rFonts w:ascii="Times New Roman" w:hAnsi="Times New Roman" w:eastAsia="Times New Roman"/>
                <w:highlight w:val="none"/>
              </w:rPr>
              <w:t>SSL</w:t>
            </w:r>
          </w:p>
        </w:tc>
        <w:tc>
          <w:tcPr>
            <w:tcW w:w="2835" w:type="dxa"/>
          </w:tcPr>
          <w:p>
            <w:pPr>
              <w:widowControl/>
              <w:autoSpaceDE w:val="0"/>
              <w:autoSpaceDN w:val="0"/>
              <w:adjustRightInd/>
              <w:spacing w:line="240" w:lineRule="auto"/>
              <w:rPr>
                <w:rFonts w:hint="eastAsia" w:ascii="宋体" w:hAnsi="宋体" w:eastAsia="Times New Roman" w:cs="宋体"/>
                <w:kern w:val="0"/>
                <w:highlight w:val="none"/>
              </w:rPr>
            </w:pPr>
            <w:r>
              <w:rPr>
                <w:rFonts w:hint="eastAsia" w:ascii="宋体" w:hAnsi="宋体" w:eastAsia="宋体" w:cs="宋体"/>
                <w:kern w:val="0"/>
                <w:highlight w:val="none"/>
              </w:rPr>
              <w:t>安全套接层</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Secure Socket Layer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jc w:val="center"/>
        </w:trPr>
        <w:tc>
          <w:tcPr>
            <w:tcW w:w="1010"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VLAN</w:t>
            </w:r>
          </w:p>
        </w:tc>
        <w:tc>
          <w:tcPr>
            <w:tcW w:w="2835"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虚拟局域网</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Virtual Local Area Network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jc w:val="center"/>
        </w:trPr>
        <w:tc>
          <w:tcPr>
            <w:tcW w:w="1010"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V</w:t>
            </w:r>
            <w:r>
              <w:rPr>
                <w:rFonts w:ascii="Times New Roman" w:hAnsi="Times New Roman" w:eastAsiaTheme="minorEastAsia"/>
                <w:kern w:val="0"/>
                <w:highlight w:val="none"/>
              </w:rPr>
              <w:t>x</w:t>
            </w:r>
            <w:r>
              <w:rPr>
                <w:rFonts w:ascii="Times New Roman" w:hAnsi="Times New Roman" w:eastAsia="Times New Roman"/>
                <w:kern w:val="0"/>
                <w:highlight w:val="none"/>
              </w:rPr>
              <w:t>LAN</w:t>
            </w:r>
          </w:p>
        </w:tc>
        <w:tc>
          <w:tcPr>
            <w:tcW w:w="2835" w:type="dxa"/>
          </w:tcPr>
          <w:p>
            <w:pPr>
              <w:widowControl/>
              <w:autoSpaceDE w:val="0"/>
              <w:autoSpaceDN w:val="0"/>
              <w:adjustRightInd/>
              <w:spacing w:line="240" w:lineRule="auto"/>
              <w:rPr>
                <w:rFonts w:ascii="Times New Roman" w:hAnsi="Times New Roman" w:eastAsia="Times New Roman"/>
                <w:kern w:val="0"/>
                <w:highlight w:val="none"/>
              </w:rPr>
            </w:pPr>
            <w:r>
              <w:rPr>
                <w:rFonts w:hint="eastAsia" w:ascii="宋体" w:hAnsi="宋体" w:eastAsia="宋体" w:cs="宋体"/>
                <w:kern w:val="0"/>
                <w:highlight w:val="none"/>
              </w:rPr>
              <w:t>虚拟扩展局域网</w:t>
            </w:r>
          </w:p>
        </w:tc>
        <w:tc>
          <w:tcPr>
            <w:tcW w:w="4483" w:type="dxa"/>
          </w:tcPr>
          <w:p>
            <w:pPr>
              <w:widowControl/>
              <w:autoSpaceDE w:val="0"/>
              <w:autoSpaceDN w:val="0"/>
              <w:adjustRightInd/>
              <w:spacing w:line="240" w:lineRule="auto"/>
              <w:rPr>
                <w:rFonts w:ascii="Times New Roman" w:hAnsi="Times New Roman" w:eastAsia="Times New Roman"/>
                <w:kern w:val="0"/>
                <w:highlight w:val="none"/>
              </w:rPr>
            </w:pPr>
            <w:r>
              <w:rPr>
                <w:rFonts w:ascii="Times New Roman" w:hAnsi="Times New Roman" w:eastAsia="Times New Roman"/>
                <w:kern w:val="0"/>
                <w:highlight w:val="none"/>
              </w:rPr>
              <w:t>Virtual Extensible Local Area Network</w:t>
            </w:r>
          </w:p>
        </w:tc>
      </w:tr>
    </w:tbl>
    <w:p>
      <w:pPr>
        <w:pStyle w:val="107"/>
        <w:spacing w:before="312" w:after="312"/>
        <w:rPr>
          <w:rFonts w:ascii="Times New Roman"/>
          <w:highlight w:val="none"/>
        </w:rPr>
      </w:pPr>
      <w:bookmarkStart w:id="49" w:name="_Toc102992483"/>
      <w:bookmarkStart w:id="50" w:name="_Toc102984304"/>
      <w:bookmarkStart w:id="51" w:name="_Toc102984539"/>
      <w:bookmarkStart w:id="52" w:name="_Toc104671591"/>
      <w:r>
        <w:rPr>
          <w:rFonts w:ascii="Times New Roman"/>
          <w:highlight w:val="none"/>
        </w:rPr>
        <w:t>工业互联网平台企业安全防护范围及内容</w:t>
      </w:r>
      <w:bookmarkEnd w:id="49"/>
      <w:bookmarkEnd w:id="50"/>
      <w:bookmarkEnd w:id="51"/>
      <w:bookmarkEnd w:id="52"/>
    </w:p>
    <w:p>
      <w:pPr>
        <w:pStyle w:val="59"/>
        <w:ind w:firstLine="420"/>
        <w:rPr>
          <w:rFonts w:ascii="Times New Roman"/>
          <w:highlight w:val="none"/>
        </w:rPr>
      </w:pPr>
      <w:r>
        <w:rPr>
          <w:rFonts w:ascii="Times New Roman"/>
          <w:highlight w:val="none"/>
        </w:rPr>
        <w:t>工业互联网平台企业安全防护内容具体包括：</w:t>
      </w:r>
    </w:p>
    <w:p>
      <w:pPr>
        <w:pStyle w:val="177"/>
        <w:rPr>
          <w:rFonts w:ascii="Times New Roman"/>
          <w:highlight w:val="none"/>
        </w:rPr>
      </w:pPr>
      <w:r>
        <w:rPr>
          <w:rFonts w:ascii="Times New Roman"/>
          <w:highlight w:val="none"/>
        </w:rPr>
        <w:t>接入层安全防护：主要指针对网关等接入设备提出安全防护规范，包括接入设备安全、接入层网络安全等方面。</w:t>
      </w:r>
    </w:p>
    <w:p>
      <w:pPr>
        <w:pStyle w:val="177"/>
        <w:rPr>
          <w:rFonts w:ascii="Times New Roman"/>
          <w:highlight w:val="none"/>
        </w:rPr>
      </w:pPr>
      <w:r>
        <w:rPr>
          <w:rFonts w:ascii="Times New Roman"/>
          <w:highlight w:val="none"/>
        </w:rPr>
        <w:t>基础设施层安全防护：包括计算环境安全、网络安全、虚拟化安全等方面。</w:t>
      </w:r>
    </w:p>
    <w:p>
      <w:pPr>
        <w:pStyle w:val="177"/>
        <w:rPr>
          <w:rFonts w:ascii="Times New Roman"/>
          <w:highlight w:val="none"/>
        </w:rPr>
      </w:pPr>
      <w:r>
        <w:rPr>
          <w:rFonts w:ascii="Times New Roman"/>
          <w:highlight w:val="none"/>
        </w:rPr>
        <w:t>平台层安全防护：包括微服务组件安全、平台应用开发环境安全、容器安全等方面。</w:t>
      </w:r>
    </w:p>
    <w:p>
      <w:pPr>
        <w:pStyle w:val="177"/>
        <w:rPr>
          <w:rFonts w:ascii="Times New Roman"/>
          <w:highlight w:val="none"/>
        </w:rPr>
      </w:pPr>
      <w:r>
        <w:rPr>
          <w:rFonts w:ascii="Times New Roman"/>
          <w:highlight w:val="none"/>
        </w:rPr>
        <w:t>应用层安全防护：包括面向各类工业应用场景的业务应用安全等方面。</w:t>
      </w:r>
    </w:p>
    <w:p>
      <w:pPr>
        <w:pStyle w:val="177"/>
        <w:rPr>
          <w:rFonts w:ascii="Times New Roman"/>
          <w:highlight w:val="none"/>
        </w:rPr>
      </w:pPr>
      <w:r>
        <w:rPr>
          <w:rFonts w:ascii="Times New Roman"/>
          <w:highlight w:val="none"/>
        </w:rPr>
        <w:t>数据安全防护：包括工业互联网平台相关数据全生命周期安全等方面。</w:t>
      </w:r>
    </w:p>
    <w:p>
      <w:pPr>
        <w:pStyle w:val="177"/>
        <w:rPr>
          <w:rFonts w:ascii="Times New Roman"/>
          <w:highlight w:val="none"/>
        </w:rPr>
      </w:pPr>
      <w:r>
        <w:rPr>
          <w:rFonts w:ascii="Times New Roman"/>
          <w:highlight w:val="none"/>
        </w:rPr>
        <w:t>安全管理要求：包括安全管理制度、安全管理机构和人员、安全建设管理、安全运维管理等方面。</w:t>
      </w:r>
    </w:p>
    <w:p>
      <w:pPr>
        <w:pStyle w:val="177"/>
        <w:rPr>
          <w:rFonts w:ascii="Times New Roman"/>
          <w:highlight w:val="none"/>
        </w:rPr>
      </w:pPr>
      <w:r>
        <w:rPr>
          <w:rFonts w:ascii="Times New Roman"/>
          <w:highlight w:val="none"/>
        </w:rPr>
        <w:t>物理和环境安全要求：包括物理位置选择、物理访问控制、防盗窃和防破坏、防雷击、防火、防水和防潮、</w:t>
      </w:r>
      <w:r>
        <w:rPr>
          <w:rFonts w:hint="eastAsia" w:ascii="Times New Roman"/>
          <w:highlight w:val="none"/>
        </w:rPr>
        <w:t>防静电、温湿度控制、电力供应、</w:t>
      </w:r>
      <w:r>
        <w:rPr>
          <w:rFonts w:ascii="Times New Roman"/>
          <w:highlight w:val="none"/>
        </w:rPr>
        <w:t>电磁防护等方面。</w:t>
      </w:r>
    </w:p>
    <w:p>
      <w:pPr>
        <w:pStyle w:val="107"/>
        <w:spacing w:before="312" w:after="312"/>
        <w:rPr>
          <w:rFonts w:ascii="Times New Roman"/>
          <w:highlight w:val="none"/>
        </w:rPr>
      </w:pPr>
      <w:bookmarkStart w:id="53" w:name="_Toc102992484"/>
      <w:bookmarkStart w:id="54" w:name="_Toc102984305"/>
      <w:bookmarkStart w:id="55" w:name="_Toc104671592"/>
      <w:bookmarkStart w:id="56" w:name="_Toc102984540"/>
      <w:r>
        <w:rPr>
          <w:rFonts w:ascii="Times New Roman"/>
          <w:highlight w:val="none"/>
        </w:rPr>
        <w:t>工业互联网平台企业安全防护级别的确定</w:t>
      </w:r>
      <w:bookmarkEnd w:id="53"/>
      <w:bookmarkEnd w:id="54"/>
      <w:bookmarkEnd w:id="55"/>
      <w:bookmarkEnd w:id="56"/>
    </w:p>
    <w:p>
      <w:pPr>
        <w:pStyle w:val="59"/>
        <w:ind w:firstLine="420"/>
        <w:rPr>
          <w:rFonts w:ascii="Times New Roman"/>
          <w:highlight w:val="none"/>
        </w:rPr>
      </w:pPr>
      <w:r>
        <w:rPr>
          <w:rFonts w:ascii="Times New Roman"/>
          <w:highlight w:val="none"/>
        </w:rPr>
        <w:t>工业互联网平台企业</w:t>
      </w:r>
      <w:r>
        <w:rPr>
          <w:rFonts w:hint="eastAsia" w:ascii="Times New Roman"/>
          <w:highlight w:val="none"/>
        </w:rPr>
        <w:t>依据企业平台服务行业的网络安全影响程度、平台业务范围、平台业务规模、平台一旦发生网络安全事件的影响程度进行</w:t>
      </w:r>
      <w:r>
        <w:rPr>
          <w:rFonts w:ascii="Times New Roman"/>
          <w:highlight w:val="none"/>
        </w:rPr>
        <w:t>级别划分，采取不同程度的安全防护。工业互联网平台企业的安全防护分为基本级防护和增强级防护两个级别：</w:t>
      </w:r>
    </w:p>
    <w:p>
      <w:pPr>
        <w:pStyle w:val="135"/>
        <w:rPr>
          <w:rFonts w:ascii="Times New Roman"/>
          <w:highlight w:val="none"/>
        </w:rPr>
      </w:pPr>
      <w:r>
        <w:rPr>
          <w:rFonts w:ascii="Times New Roman"/>
          <w:highlight w:val="none"/>
        </w:rPr>
        <w:t>三级工业互联网平台企业应采取增强级防护措施。</w:t>
      </w:r>
    </w:p>
    <w:p>
      <w:pPr>
        <w:pStyle w:val="135"/>
        <w:rPr>
          <w:rFonts w:ascii="Times New Roman"/>
          <w:highlight w:val="none"/>
        </w:rPr>
      </w:pPr>
      <w:r>
        <w:rPr>
          <w:rFonts w:ascii="Times New Roman"/>
          <w:highlight w:val="none"/>
        </w:rPr>
        <w:t>二级工业互联网平台企业应采取基本级防护措施。</w:t>
      </w:r>
    </w:p>
    <w:p>
      <w:pPr>
        <w:pStyle w:val="135"/>
        <w:rPr>
          <w:rFonts w:ascii="Times New Roman"/>
          <w:highlight w:val="none"/>
        </w:rPr>
      </w:pPr>
      <w:r>
        <w:rPr>
          <w:rFonts w:ascii="Times New Roman"/>
          <w:highlight w:val="none"/>
        </w:rPr>
        <w:t>一级工业互联网平台企业宜参照基本级防护要求根据自身情况，自主落实安全防护措施。</w:t>
      </w:r>
    </w:p>
    <w:p>
      <w:pPr>
        <w:pStyle w:val="107"/>
        <w:spacing w:before="312" w:after="312"/>
        <w:rPr>
          <w:rFonts w:ascii="Times New Roman"/>
          <w:highlight w:val="none"/>
        </w:rPr>
      </w:pPr>
      <w:bookmarkStart w:id="57" w:name="_Toc102984541"/>
      <w:bookmarkStart w:id="58" w:name="_Toc102992485"/>
      <w:bookmarkStart w:id="59" w:name="_Toc104671593"/>
      <w:bookmarkStart w:id="60" w:name="_Toc102984306"/>
      <w:r>
        <w:rPr>
          <w:rFonts w:ascii="Times New Roman"/>
          <w:highlight w:val="none"/>
        </w:rPr>
        <w:t>工业互联网平台企业安全防护要求</w:t>
      </w:r>
      <w:bookmarkEnd w:id="57"/>
      <w:bookmarkEnd w:id="58"/>
      <w:bookmarkEnd w:id="59"/>
      <w:bookmarkEnd w:id="60"/>
    </w:p>
    <w:p>
      <w:pPr>
        <w:pStyle w:val="108"/>
        <w:spacing w:before="156" w:after="156"/>
        <w:rPr>
          <w:rFonts w:ascii="Times New Roman"/>
          <w:highlight w:val="none"/>
        </w:rPr>
      </w:pPr>
      <w:bookmarkStart w:id="61" w:name="_Toc102992486"/>
      <w:bookmarkStart w:id="62" w:name="_Toc102984307"/>
      <w:bookmarkStart w:id="63" w:name="_Toc104671594"/>
      <w:bookmarkStart w:id="64" w:name="_Toc102984542"/>
      <w:r>
        <w:rPr>
          <w:rFonts w:ascii="Times New Roman"/>
          <w:highlight w:val="none"/>
        </w:rPr>
        <w:t>基本级防护要求</w:t>
      </w:r>
      <w:bookmarkEnd w:id="61"/>
      <w:bookmarkEnd w:id="62"/>
      <w:bookmarkEnd w:id="63"/>
      <w:bookmarkEnd w:id="64"/>
    </w:p>
    <w:p>
      <w:pPr>
        <w:pStyle w:val="68"/>
        <w:spacing w:before="156" w:after="156"/>
        <w:rPr>
          <w:rFonts w:ascii="Times New Roman"/>
          <w:highlight w:val="none"/>
        </w:rPr>
      </w:pPr>
      <w:bookmarkStart w:id="65" w:name="_Toc102984543"/>
      <w:bookmarkStart w:id="66" w:name="_Toc102992487"/>
      <w:r>
        <w:rPr>
          <w:rFonts w:ascii="Times New Roman"/>
          <w:highlight w:val="none"/>
        </w:rPr>
        <w:t>接入层安全防护要求</w:t>
      </w:r>
      <w:bookmarkEnd w:id="65"/>
      <w:bookmarkEnd w:id="66"/>
    </w:p>
    <w:p>
      <w:pPr>
        <w:pStyle w:val="97"/>
        <w:spacing w:before="156" w:after="156"/>
        <w:ind w:left="0"/>
        <w:rPr>
          <w:rFonts w:ascii="Times New Roman"/>
          <w:highlight w:val="none"/>
        </w:rPr>
      </w:pPr>
      <w:bookmarkStart w:id="67" w:name="_Toc102984544"/>
      <w:r>
        <w:rPr>
          <w:rFonts w:ascii="Times New Roman"/>
          <w:highlight w:val="none"/>
        </w:rPr>
        <w:t>接入设备安全防护要求</w:t>
      </w:r>
      <w:bookmarkEnd w:id="67"/>
    </w:p>
    <w:p>
      <w:pPr>
        <w:pStyle w:val="101"/>
        <w:spacing w:before="156" w:after="156"/>
        <w:ind w:left="0"/>
        <w:rPr>
          <w:rFonts w:ascii="Times New Roman"/>
          <w:highlight w:val="none"/>
        </w:rPr>
      </w:pPr>
      <w:r>
        <w:rPr>
          <w:rFonts w:ascii="Times New Roman"/>
          <w:highlight w:val="none"/>
        </w:rPr>
        <w:t>口令账号安全</w:t>
      </w:r>
    </w:p>
    <w:p>
      <w:pPr>
        <w:pStyle w:val="177"/>
        <w:numPr>
          <w:ilvl w:val="0"/>
          <w:numId w:val="0"/>
        </w:numPr>
        <w:ind w:left="851" w:hanging="426"/>
        <w:rPr>
          <w:rFonts w:ascii="Times New Roman"/>
          <w:highlight w:val="none"/>
        </w:rPr>
      </w:pPr>
      <w:r>
        <w:rPr>
          <w:rFonts w:ascii="Times New Roman"/>
          <w:highlight w:val="none"/>
        </w:rPr>
        <w:t>口令账号安全要求包括：</w:t>
      </w:r>
    </w:p>
    <w:p>
      <w:pPr>
        <w:pStyle w:val="177"/>
        <w:numPr>
          <w:ilvl w:val="0"/>
          <w:numId w:val="32"/>
        </w:numPr>
        <w:rPr>
          <w:rFonts w:ascii="Times New Roman"/>
          <w:highlight w:val="none"/>
        </w:rPr>
      </w:pPr>
      <w:r>
        <w:rPr>
          <w:rFonts w:ascii="Times New Roman"/>
          <w:highlight w:val="none"/>
        </w:rPr>
        <w:t>对于采用静态口令认证技术的设备，口令长度应至少8位，并包</w:t>
      </w:r>
      <w:r>
        <w:rPr>
          <w:rFonts w:hint="eastAsia" w:ascii="Times New Roman"/>
          <w:highlight w:val="none"/>
        </w:rPr>
        <w:t>含</w:t>
      </w:r>
      <w:r>
        <w:rPr>
          <w:rFonts w:ascii="Times New Roman"/>
          <w:highlight w:val="none"/>
        </w:rPr>
        <w:t>数字、大写字母、</w:t>
      </w:r>
      <w:r>
        <w:rPr>
          <w:rFonts w:hint="eastAsia" w:ascii="Times New Roman"/>
          <w:highlight w:val="none"/>
        </w:rPr>
        <w:t>小</w:t>
      </w:r>
      <w:r>
        <w:rPr>
          <w:rFonts w:ascii="Times New Roman"/>
          <w:highlight w:val="none"/>
        </w:rPr>
        <w:t>写字母、特殊字符4类中至少3类，且</w:t>
      </w:r>
      <w:r>
        <w:rPr>
          <w:rFonts w:hint="eastAsia" w:ascii="Times New Roman"/>
          <w:highlight w:val="none"/>
        </w:rPr>
        <w:t>应</w:t>
      </w:r>
      <w:r>
        <w:rPr>
          <w:rFonts w:ascii="Times New Roman"/>
          <w:highlight w:val="none"/>
        </w:rPr>
        <w:t>与帐号无相关性，同时应定期更换口令，更换周期不大于90天；</w:t>
      </w:r>
    </w:p>
    <w:p>
      <w:pPr>
        <w:pStyle w:val="177"/>
        <w:numPr>
          <w:ilvl w:val="0"/>
          <w:numId w:val="32"/>
        </w:numPr>
        <w:rPr>
          <w:rFonts w:ascii="Times New Roman"/>
          <w:highlight w:val="none"/>
        </w:rPr>
      </w:pPr>
      <w:r>
        <w:rPr>
          <w:rFonts w:hint="eastAsia" w:ascii="Times New Roman"/>
          <w:highlight w:val="none"/>
        </w:rPr>
        <w:t>不应启用默认帐号，如遇特殊需要必须启用默认帐号，应将默认帐号的权限进行最小化限制；</w:t>
      </w:r>
    </w:p>
    <w:p>
      <w:pPr>
        <w:pStyle w:val="177"/>
        <w:rPr>
          <w:rFonts w:ascii="Times New Roman"/>
          <w:highlight w:val="none"/>
        </w:rPr>
      </w:pPr>
      <w:r>
        <w:rPr>
          <w:rFonts w:ascii="Times New Roman"/>
          <w:highlight w:val="none"/>
        </w:rPr>
        <w:t>对于具备字符交互界面</w:t>
      </w:r>
      <w:r>
        <w:rPr>
          <w:rFonts w:hint="eastAsia" w:ascii="Times New Roman"/>
          <w:highlight w:val="none"/>
        </w:rPr>
        <w:t>或Web管理界面</w:t>
      </w:r>
      <w:r>
        <w:rPr>
          <w:rFonts w:ascii="Times New Roman"/>
          <w:highlight w:val="none"/>
        </w:rPr>
        <w:t>的设备，应配置定时帐号自动登出；</w:t>
      </w:r>
    </w:p>
    <w:p>
      <w:pPr>
        <w:pStyle w:val="177"/>
        <w:rPr>
          <w:rFonts w:ascii="Times New Roman"/>
          <w:highlight w:val="none"/>
        </w:rPr>
      </w:pPr>
      <w:r>
        <w:rPr>
          <w:rFonts w:ascii="Times New Roman"/>
          <w:highlight w:val="none"/>
        </w:rPr>
        <w:t>应删除或锁定与设备运行、维护等工作无关的帐号。</w:t>
      </w:r>
    </w:p>
    <w:p>
      <w:pPr>
        <w:pStyle w:val="101"/>
        <w:spacing w:before="156" w:after="156"/>
        <w:ind w:left="0"/>
        <w:rPr>
          <w:rFonts w:ascii="Times New Roman"/>
          <w:highlight w:val="none"/>
        </w:rPr>
      </w:pPr>
      <w:r>
        <w:rPr>
          <w:rFonts w:hint="eastAsia" w:ascii="Times New Roman"/>
          <w:highlight w:val="none"/>
        </w:rPr>
        <w:t>设备硬件安全</w:t>
      </w:r>
    </w:p>
    <w:p>
      <w:pPr>
        <w:pStyle w:val="177"/>
        <w:numPr>
          <w:ilvl w:val="0"/>
          <w:numId w:val="0"/>
        </w:numPr>
        <w:ind w:left="851" w:hanging="426"/>
        <w:rPr>
          <w:rFonts w:ascii="Times New Roman"/>
          <w:highlight w:val="none"/>
        </w:rPr>
      </w:pPr>
      <w:r>
        <w:rPr>
          <w:rFonts w:ascii="Times New Roman"/>
          <w:highlight w:val="none"/>
        </w:rPr>
        <w:t>安全配置要求包括：</w:t>
      </w:r>
    </w:p>
    <w:p>
      <w:pPr>
        <w:pStyle w:val="177"/>
        <w:numPr>
          <w:ilvl w:val="0"/>
          <w:numId w:val="33"/>
        </w:numPr>
        <w:rPr>
          <w:rFonts w:ascii="Times New Roman"/>
          <w:highlight w:val="none"/>
        </w:rPr>
      </w:pPr>
      <w:r>
        <w:rPr>
          <w:rFonts w:ascii="Times New Roman"/>
          <w:highlight w:val="none"/>
        </w:rPr>
        <w:t>设备应具备独立的安全运行区域，用于</w:t>
      </w:r>
      <w:r>
        <w:rPr>
          <w:rFonts w:hint="eastAsia" w:ascii="Times New Roman"/>
          <w:highlight w:val="none"/>
        </w:rPr>
        <w:t>密</w:t>
      </w:r>
      <w:r>
        <w:rPr>
          <w:rFonts w:ascii="Times New Roman"/>
          <w:highlight w:val="none"/>
        </w:rPr>
        <w:t>钥的生成、存储、使用等，不与非安全运行区域共享存储空间，防止篡改或非法获取；</w:t>
      </w:r>
    </w:p>
    <w:p>
      <w:pPr>
        <w:pStyle w:val="177"/>
        <w:rPr>
          <w:rFonts w:ascii="Times New Roman"/>
          <w:highlight w:val="none"/>
        </w:rPr>
      </w:pPr>
      <w:r>
        <w:rPr>
          <w:rFonts w:hint="eastAsia" w:ascii="Times New Roman"/>
          <w:highlight w:val="none"/>
        </w:rPr>
        <w:t>应使用物理方式移除或覆盖硬件接口、敏感引脚等关键信息，避免硬件调试接口直接暴露在外；</w:t>
      </w:r>
    </w:p>
    <w:p>
      <w:pPr>
        <w:pStyle w:val="177"/>
        <w:rPr>
          <w:rFonts w:ascii="Times New Roman"/>
          <w:highlight w:val="none"/>
        </w:rPr>
      </w:pPr>
      <w:r>
        <w:rPr>
          <w:rFonts w:hint="eastAsia" w:ascii="Times New Roman"/>
          <w:highlight w:val="none"/>
        </w:rPr>
        <w:t>设备调试接口默认配置为禁用或设置密码，且密码应具有一定的复杂度。</w:t>
      </w:r>
    </w:p>
    <w:p>
      <w:pPr>
        <w:pStyle w:val="101"/>
        <w:spacing w:before="156" w:after="156"/>
        <w:ind w:left="0"/>
        <w:rPr>
          <w:rFonts w:ascii="Times New Roman"/>
          <w:highlight w:val="none"/>
        </w:rPr>
      </w:pPr>
      <w:r>
        <w:rPr>
          <w:rFonts w:ascii="Times New Roman"/>
          <w:highlight w:val="none"/>
        </w:rPr>
        <w:t>身份鉴别</w:t>
      </w:r>
    </w:p>
    <w:p>
      <w:pPr>
        <w:pStyle w:val="177"/>
        <w:numPr>
          <w:ilvl w:val="0"/>
          <w:numId w:val="0"/>
        </w:numPr>
        <w:ind w:left="851" w:hanging="426"/>
        <w:rPr>
          <w:rFonts w:ascii="Times New Roman"/>
          <w:highlight w:val="none"/>
        </w:rPr>
      </w:pPr>
      <w:r>
        <w:rPr>
          <w:rFonts w:ascii="Times New Roman"/>
          <w:highlight w:val="none"/>
        </w:rPr>
        <w:t>身份鉴别安全要求包括：</w:t>
      </w:r>
    </w:p>
    <w:p>
      <w:pPr>
        <w:pStyle w:val="177"/>
        <w:numPr>
          <w:ilvl w:val="0"/>
          <w:numId w:val="34"/>
        </w:numPr>
        <w:rPr>
          <w:rFonts w:ascii="Times New Roman"/>
          <w:highlight w:val="none"/>
        </w:rPr>
      </w:pPr>
      <w:r>
        <w:rPr>
          <w:rFonts w:hint="eastAsia"/>
          <w:highlight w:val="none"/>
        </w:rPr>
        <w:t>接入设备应具备唯一标识符，应采用鉴别机制对接入工业互联网平台中的设备接入身份进行鉴别，确保接入设备为已授权的合法设备；</w:t>
      </w:r>
    </w:p>
    <w:p>
      <w:pPr>
        <w:pStyle w:val="177"/>
        <w:numPr>
          <w:ilvl w:val="0"/>
          <w:numId w:val="34"/>
        </w:numPr>
        <w:ind w:left="851" w:hanging="426"/>
        <w:rPr>
          <w:rFonts w:ascii="Times New Roman"/>
          <w:highlight w:val="none"/>
        </w:rPr>
      </w:pPr>
      <w:r>
        <w:rPr>
          <w:rFonts w:ascii="Times New Roman"/>
          <w:highlight w:val="none"/>
        </w:rPr>
        <w:t>应对设备远程管理设置身份认证措施。</w:t>
      </w:r>
    </w:p>
    <w:p>
      <w:pPr>
        <w:pStyle w:val="101"/>
        <w:spacing w:before="156" w:after="156"/>
        <w:ind w:left="0"/>
        <w:rPr>
          <w:rFonts w:ascii="Times New Roman"/>
          <w:highlight w:val="none"/>
        </w:rPr>
      </w:pPr>
      <w:r>
        <w:rPr>
          <w:rFonts w:ascii="Times New Roman"/>
          <w:highlight w:val="none"/>
        </w:rPr>
        <w:t>访问控制</w:t>
      </w:r>
    </w:p>
    <w:p>
      <w:pPr>
        <w:pStyle w:val="177"/>
        <w:numPr>
          <w:ilvl w:val="0"/>
          <w:numId w:val="0"/>
        </w:numPr>
        <w:ind w:left="851" w:hanging="426"/>
        <w:rPr>
          <w:rFonts w:ascii="Times New Roman"/>
          <w:highlight w:val="none"/>
        </w:rPr>
      </w:pPr>
      <w:r>
        <w:rPr>
          <w:rFonts w:ascii="Times New Roman"/>
          <w:highlight w:val="none"/>
        </w:rPr>
        <w:t>访问控制安全要求包括：</w:t>
      </w:r>
    </w:p>
    <w:p>
      <w:pPr>
        <w:pStyle w:val="177"/>
        <w:numPr>
          <w:ilvl w:val="0"/>
          <w:numId w:val="35"/>
        </w:numPr>
        <w:rPr>
          <w:rFonts w:ascii="Times New Roman"/>
          <w:highlight w:val="none"/>
        </w:rPr>
      </w:pPr>
      <w:r>
        <w:rPr>
          <w:rFonts w:ascii="Times New Roman"/>
          <w:highlight w:val="none"/>
        </w:rPr>
        <w:t>应通过制定安全策略如访问控制列表，实现对接入工业互联网中设备的访问控制；</w:t>
      </w:r>
    </w:p>
    <w:p>
      <w:pPr>
        <w:pStyle w:val="177"/>
        <w:rPr>
          <w:rFonts w:ascii="Times New Roman"/>
          <w:highlight w:val="none"/>
        </w:rPr>
      </w:pPr>
      <w:r>
        <w:rPr>
          <w:rFonts w:ascii="Times New Roman"/>
          <w:highlight w:val="none"/>
        </w:rPr>
        <w:t>应在设备权限配置能力内，根据用户的业务需要，配置其所需的最小权限；</w:t>
      </w:r>
    </w:p>
    <w:p>
      <w:pPr>
        <w:pStyle w:val="177"/>
        <w:rPr>
          <w:rFonts w:ascii="Times New Roman"/>
          <w:highlight w:val="none"/>
        </w:rPr>
      </w:pPr>
      <w:r>
        <w:rPr>
          <w:rFonts w:ascii="Times New Roman"/>
          <w:highlight w:val="none"/>
        </w:rPr>
        <w:t>对于设备的远程管理过程，应使用加密协议，禁止使用明文传输；</w:t>
      </w:r>
    </w:p>
    <w:p>
      <w:pPr>
        <w:pStyle w:val="177"/>
        <w:rPr>
          <w:rFonts w:ascii="Times New Roman"/>
          <w:highlight w:val="none"/>
        </w:rPr>
      </w:pPr>
      <w:r>
        <w:rPr>
          <w:rFonts w:ascii="Times New Roman"/>
          <w:highlight w:val="none"/>
        </w:rPr>
        <w:t>设备远程管理应设置访问控制权限，系统管理、安全审计等应为不同权限账户。</w:t>
      </w:r>
    </w:p>
    <w:p>
      <w:pPr>
        <w:pStyle w:val="101"/>
        <w:spacing w:before="156" w:after="156"/>
        <w:ind w:left="0"/>
        <w:rPr>
          <w:rFonts w:ascii="Times New Roman"/>
          <w:highlight w:val="none"/>
        </w:rPr>
      </w:pPr>
      <w:r>
        <w:rPr>
          <w:rFonts w:ascii="Times New Roman"/>
          <w:highlight w:val="none"/>
        </w:rPr>
        <w:t>安全审计</w:t>
      </w:r>
    </w:p>
    <w:p>
      <w:pPr>
        <w:pStyle w:val="177"/>
        <w:numPr>
          <w:ilvl w:val="0"/>
          <w:numId w:val="0"/>
        </w:numPr>
        <w:ind w:left="851" w:hanging="426"/>
        <w:rPr>
          <w:rFonts w:ascii="Times New Roman"/>
          <w:highlight w:val="none"/>
        </w:rPr>
      </w:pPr>
      <w:r>
        <w:rPr>
          <w:rFonts w:ascii="Times New Roman"/>
          <w:highlight w:val="none"/>
        </w:rPr>
        <w:t>安全审计要求包括：</w:t>
      </w:r>
    </w:p>
    <w:p>
      <w:pPr>
        <w:pStyle w:val="177"/>
        <w:numPr>
          <w:ilvl w:val="0"/>
          <w:numId w:val="36"/>
        </w:numPr>
        <w:rPr>
          <w:highlight w:val="none"/>
        </w:rPr>
      </w:pPr>
      <w:r>
        <w:rPr>
          <w:highlight w:val="none"/>
        </w:rPr>
        <w:t>应配置日志功能，对用户登录设备的操作进行记录</w:t>
      </w:r>
      <w:r>
        <w:rPr>
          <w:rFonts w:hint="eastAsia"/>
          <w:highlight w:val="none"/>
        </w:rPr>
        <w:t>；</w:t>
      </w:r>
    </w:p>
    <w:p>
      <w:pPr>
        <w:pStyle w:val="177"/>
        <w:numPr>
          <w:ilvl w:val="0"/>
          <w:numId w:val="36"/>
        </w:numPr>
        <w:rPr>
          <w:rFonts w:hint="eastAsia"/>
          <w:highlight w:val="none"/>
        </w:rPr>
      </w:pPr>
      <w:r>
        <w:rPr>
          <w:rFonts w:hint="eastAsia"/>
          <w:highlight w:val="none"/>
        </w:rPr>
        <w:t>审计范围应覆盖设备所有用户；</w:t>
      </w:r>
    </w:p>
    <w:p>
      <w:pPr>
        <w:pStyle w:val="177"/>
        <w:numPr>
          <w:ilvl w:val="0"/>
          <w:numId w:val="36"/>
        </w:numPr>
        <w:rPr>
          <w:rFonts w:hint="eastAsia"/>
          <w:highlight w:val="none"/>
        </w:rPr>
      </w:pPr>
      <w:r>
        <w:rPr>
          <w:rFonts w:hint="eastAsia"/>
          <w:highlight w:val="none"/>
        </w:rPr>
        <w:t>审计内容应包括重要用户行为、重要操作命令的使用等重要安全事件的时间、主体标识、客体标识和结果等；</w:t>
      </w:r>
    </w:p>
    <w:p>
      <w:pPr>
        <w:pStyle w:val="177"/>
        <w:numPr>
          <w:ilvl w:val="0"/>
          <w:numId w:val="36"/>
        </w:numPr>
        <w:rPr>
          <w:rFonts w:hint="eastAsia"/>
          <w:highlight w:val="none"/>
        </w:rPr>
      </w:pPr>
      <w:r>
        <w:rPr>
          <w:rFonts w:hint="eastAsia"/>
          <w:highlight w:val="none"/>
        </w:rPr>
        <w:t>应统一时钟，保证日志功能记录时间的准确性；</w:t>
      </w:r>
    </w:p>
    <w:p>
      <w:pPr>
        <w:pStyle w:val="177"/>
        <w:numPr>
          <w:ilvl w:val="0"/>
          <w:numId w:val="36"/>
        </w:numPr>
        <w:rPr>
          <w:highlight w:val="none"/>
        </w:rPr>
      </w:pPr>
      <w:r>
        <w:rPr>
          <w:rFonts w:hint="eastAsia"/>
          <w:highlight w:val="none"/>
        </w:rPr>
        <w:t>保护审计记录，有效期内避免受到非授权的访问、篡改、覆盖或删除等；</w:t>
      </w:r>
    </w:p>
    <w:p>
      <w:pPr>
        <w:pStyle w:val="177"/>
        <w:numPr>
          <w:ilvl w:val="0"/>
          <w:numId w:val="36"/>
        </w:numPr>
        <w:rPr>
          <w:highlight w:val="none"/>
        </w:rPr>
      </w:pPr>
      <w:r>
        <w:rPr>
          <w:rFonts w:hint="eastAsia"/>
          <w:highlight w:val="none"/>
        </w:rPr>
        <w:t>审计记录留存时间不少于6个月。</w:t>
      </w:r>
    </w:p>
    <w:p>
      <w:pPr>
        <w:pStyle w:val="101"/>
        <w:spacing w:before="156" w:after="156"/>
        <w:ind w:left="0"/>
        <w:rPr>
          <w:rFonts w:ascii="Times New Roman"/>
          <w:highlight w:val="none"/>
        </w:rPr>
      </w:pPr>
      <w:r>
        <w:rPr>
          <w:rFonts w:ascii="Times New Roman"/>
          <w:highlight w:val="none"/>
        </w:rPr>
        <w:t>入侵防范</w:t>
      </w:r>
    </w:p>
    <w:p>
      <w:pPr>
        <w:pStyle w:val="177"/>
        <w:numPr>
          <w:ilvl w:val="0"/>
          <w:numId w:val="0"/>
        </w:numPr>
        <w:ind w:left="851" w:hanging="426"/>
        <w:rPr>
          <w:rFonts w:ascii="Times New Roman"/>
          <w:highlight w:val="none"/>
        </w:rPr>
      </w:pPr>
      <w:r>
        <w:rPr>
          <w:rFonts w:ascii="Times New Roman"/>
          <w:highlight w:val="none"/>
        </w:rPr>
        <w:t>入侵防范安全要求包括：</w:t>
      </w:r>
    </w:p>
    <w:p>
      <w:pPr>
        <w:pStyle w:val="177"/>
        <w:numPr>
          <w:ilvl w:val="0"/>
          <w:numId w:val="37"/>
        </w:numPr>
        <w:rPr>
          <w:rFonts w:ascii="Times New Roman"/>
          <w:highlight w:val="none"/>
        </w:rPr>
      </w:pPr>
      <w:r>
        <w:rPr>
          <w:rFonts w:ascii="Times New Roman"/>
          <w:highlight w:val="none"/>
        </w:rPr>
        <w:t>应对非授权设备的接入行为进行告警；</w:t>
      </w:r>
    </w:p>
    <w:p>
      <w:pPr>
        <w:pStyle w:val="177"/>
        <w:rPr>
          <w:rFonts w:ascii="Times New Roman"/>
          <w:highlight w:val="none"/>
        </w:rPr>
      </w:pPr>
      <w:r>
        <w:rPr>
          <w:rFonts w:ascii="Times New Roman"/>
          <w:highlight w:val="none"/>
        </w:rPr>
        <w:t>应定期对设备固件进行安全增强，对漏洞进行修复；</w:t>
      </w:r>
    </w:p>
    <w:p>
      <w:pPr>
        <w:pStyle w:val="177"/>
        <w:rPr>
          <w:rFonts w:ascii="Times New Roman"/>
          <w:highlight w:val="none"/>
        </w:rPr>
      </w:pPr>
      <w:r>
        <w:rPr>
          <w:rFonts w:ascii="Times New Roman"/>
          <w:highlight w:val="none"/>
        </w:rPr>
        <w:t>设备应具备入侵防范措施，</w:t>
      </w:r>
      <w:r>
        <w:rPr>
          <w:rFonts w:hint="eastAsia" w:ascii="Times New Roman"/>
          <w:highlight w:val="none"/>
        </w:rPr>
        <w:t>包括但不限于</w:t>
      </w:r>
      <w:r>
        <w:rPr>
          <w:rFonts w:ascii="Times New Roman"/>
          <w:highlight w:val="none"/>
        </w:rPr>
        <w:t>开启防火墙功能等。</w:t>
      </w:r>
    </w:p>
    <w:p>
      <w:pPr>
        <w:pStyle w:val="97"/>
        <w:spacing w:before="156" w:after="156"/>
        <w:ind w:left="0"/>
        <w:rPr>
          <w:rFonts w:ascii="Times New Roman"/>
          <w:highlight w:val="none"/>
        </w:rPr>
      </w:pPr>
      <w:bookmarkStart w:id="68" w:name="_Toc102984545"/>
      <w:r>
        <w:rPr>
          <w:rFonts w:ascii="Times New Roman"/>
          <w:highlight w:val="none"/>
        </w:rPr>
        <w:t>接入层网络安全防护要求</w:t>
      </w:r>
      <w:bookmarkEnd w:id="68"/>
    </w:p>
    <w:p>
      <w:pPr>
        <w:pStyle w:val="101"/>
        <w:spacing w:before="156" w:after="156"/>
        <w:ind w:left="0"/>
        <w:rPr>
          <w:rFonts w:ascii="Times New Roman"/>
          <w:highlight w:val="none"/>
        </w:rPr>
      </w:pPr>
      <w:r>
        <w:rPr>
          <w:rFonts w:ascii="Times New Roman"/>
          <w:highlight w:val="none"/>
        </w:rPr>
        <w:t>访问控制</w:t>
      </w:r>
    </w:p>
    <w:p>
      <w:pPr>
        <w:pStyle w:val="177"/>
        <w:numPr>
          <w:ilvl w:val="0"/>
          <w:numId w:val="0"/>
        </w:numPr>
        <w:ind w:left="851" w:hanging="426"/>
        <w:rPr>
          <w:rFonts w:ascii="Times New Roman"/>
          <w:highlight w:val="none"/>
        </w:rPr>
      </w:pPr>
      <w:r>
        <w:rPr>
          <w:rFonts w:ascii="Times New Roman"/>
          <w:highlight w:val="none"/>
        </w:rPr>
        <w:t>访问控制安全要求包括：</w:t>
      </w:r>
    </w:p>
    <w:p>
      <w:pPr>
        <w:pStyle w:val="177"/>
        <w:numPr>
          <w:ilvl w:val="0"/>
          <w:numId w:val="38"/>
        </w:numPr>
        <w:rPr>
          <w:rFonts w:ascii="Times New Roman"/>
          <w:highlight w:val="none"/>
        </w:rPr>
      </w:pPr>
      <w:r>
        <w:rPr>
          <w:rFonts w:hint="eastAsia" w:ascii="Times New Roman"/>
          <w:highlight w:val="none"/>
        </w:rPr>
        <w:t>应在网络边界</w:t>
      </w:r>
      <w:r>
        <w:rPr>
          <w:rFonts w:ascii="Times New Roman"/>
          <w:highlight w:val="none"/>
        </w:rPr>
        <w:t>对源地址、目的地址、源端口、目的端口和协议等进行检查，以允许/拒绝数据进出；</w:t>
      </w:r>
    </w:p>
    <w:p>
      <w:pPr>
        <w:pStyle w:val="177"/>
        <w:numPr>
          <w:ilvl w:val="0"/>
          <w:numId w:val="38"/>
        </w:numPr>
        <w:rPr>
          <w:rFonts w:ascii="Times New Roman"/>
          <w:highlight w:val="none"/>
        </w:rPr>
      </w:pPr>
      <w:r>
        <w:rPr>
          <w:rFonts w:ascii="Times New Roman"/>
          <w:highlight w:val="none"/>
        </w:rPr>
        <w:t>网络边界应配置安全访问控制，过滤已知安全攻击数据包；</w:t>
      </w:r>
    </w:p>
    <w:p>
      <w:pPr>
        <w:pStyle w:val="177"/>
        <w:numPr>
          <w:ilvl w:val="0"/>
          <w:numId w:val="38"/>
        </w:numPr>
        <w:rPr>
          <w:rFonts w:ascii="Times New Roman"/>
          <w:highlight w:val="none"/>
        </w:rPr>
      </w:pPr>
      <w:r>
        <w:rPr>
          <w:rFonts w:ascii="Times New Roman"/>
          <w:highlight w:val="none"/>
        </w:rPr>
        <w:t>应删除多余或无效的访问控制规则，优化访问控制列表；</w:t>
      </w:r>
    </w:p>
    <w:p>
      <w:pPr>
        <w:pStyle w:val="177"/>
        <w:rPr>
          <w:rFonts w:ascii="Times New Roman"/>
          <w:highlight w:val="none"/>
        </w:rPr>
      </w:pPr>
      <w:r>
        <w:rPr>
          <w:rFonts w:ascii="Times New Roman"/>
          <w:highlight w:val="none"/>
        </w:rPr>
        <w:t>应进行安全区域划分，根据平台不同服务的类型、功能及租户的不同划分不同的子网、网段或安全组；</w:t>
      </w:r>
    </w:p>
    <w:p>
      <w:pPr>
        <w:pStyle w:val="177"/>
        <w:rPr>
          <w:rFonts w:ascii="Times New Roman"/>
          <w:highlight w:val="none"/>
        </w:rPr>
      </w:pPr>
      <w:r>
        <w:rPr>
          <w:rFonts w:ascii="Times New Roman"/>
          <w:highlight w:val="none"/>
        </w:rPr>
        <w:t>设备应关闭不需要的服务端口，避免开放高危端口，避免使用不安全的服务；</w:t>
      </w:r>
    </w:p>
    <w:p>
      <w:pPr>
        <w:pStyle w:val="177"/>
        <w:rPr>
          <w:rFonts w:ascii="Times New Roman"/>
          <w:highlight w:val="none"/>
        </w:rPr>
      </w:pPr>
      <w:r>
        <w:rPr>
          <w:rFonts w:ascii="Times New Roman"/>
          <w:highlight w:val="none"/>
        </w:rPr>
        <w:t>应对短时间内会话连接次数进行限制，对非法登录等情况采取及时结束对话、自动退出等安全措施。</w:t>
      </w:r>
    </w:p>
    <w:p>
      <w:pPr>
        <w:pStyle w:val="101"/>
        <w:spacing w:before="156" w:after="156"/>
        <w:ind w:left="0"/>
        <w:rPr>
          <w:rFonts w:ascii="Times New Roman"/>
          <w:highlight w:val="none"/>
        </w:rPr>
      </w:pPr>
      <w:r>
        <w:rPr>
          <w:rFonts w:ascii="Times New Roman"/>
          <w:highlight w:val="none"/>
        </w:rPr>
        <w:t>安全审计</w:t>
      </w:r>
    </w:p>
    <w:p>
      <w:pPr>
        <w:pStyle w:val="177"/>
        <w:numPr>
          <w:ilvl w:val="0"/>
          <w:numId w:val="0"/>
        </w:numPr>
        <w:ind w:left="851" w:hanging="426"/>
        <w:rPr>
          <w:rFonts w:ascii="Times New Roman"/>
          <w:highlight w:val="none"/>
        </w:rPr>
      </w:pPr>
      <w:r>
        <w:rPr>
          <w:rFonts w:ascii="Times New Roman"/>
          <w:highlight w:val="none"/>
        </w:rPr>
        <w:t>安全审计要求包括：</w:t>
      </w:r>
    </w:p>
    <w:p>
      <w:pPr>
        <w:pStyle w:val="177"/>
        <w:numPr>
          <w:ilvl w:val="0"/>
          <w:numId w:val="39"/>
        </w:numPr>
        <w:rPr>
          <w:rFonts w:ascii="Times New Roman"/>
          <w:highlight w:val="none"/>
        </w:rPr>
      </w:pPr>
      <w:r>
        <w:rPr>
          <w:rFonts w:ascii="Times New Roman"/>
          <w:highlight w:val="none"/>
        </w:rPr>
        <w:t>应对来自外网的所有流量进行安全审计，配置流量日志记录功能，记录通过安全设备的网络连接的信息；</w:t>
      </w:r>
    </w:p>
    <w:p>
      <w:pPr>
        <w:pStyle w:val="177"/>
        <w:numPr>
          <w:ilvl w:val="0"/>
          <w:numId w:val="39"/>
        </w:numPr>
        <w:rPr>
          <w:rFonts w:ascii="Times New Roman"/>
          <w:highlight w:val="none"/>
        </w:rPr>
      </w:pPr>
      <w:r>
        <w:rPr>
          <w:rFonts w:ascii="Times New Roman"/>
          <w:highlight w:val="none"/>
        </w:rPr>
        <w:t>对于接入层边界安全防护设备应配置日志记录功能；</w:t>
      </w:r>
    </w:p>
    <w:p>
      <w:pPr>
        <w:pStyle w:val="177"/>
        <w:rPr>
          <w:rFonts w:ascii="Times New Roman"/>
          <w:highlight w:val="none"/>
        </w:rPr>
      </w:pPr>
      <w:r>
        <w:rPr>
          <w:rFonts w:ascii="Times New Roman"/>
          <w:highlight w:val="none"/>
        </w:rPr>
        <w:t>应统一时钟，保证日志功能记录时间的准确性；</w:t>
      </w:r>
    </w:p>
    <w:p>
      <w:pPr>
        <w:pStyle w:val="177"/>
        <w:rPr>
          <w:rFonts w:ascii="Times New Roman"/>
          <w:highlight w:val="none"/>
        </w:rPr>
      </w:pPr>
      <w:r>
        <w:rPr>
          <w:rFonts w:ascii="Times New Roman"/>
          <w:highlight w:val="none"/>
        </w:rPr>
        <w:t>审计记录应包括网络安全攻击事件的日期和时间、用户、事件类型及其他与审计相关的信息；</w:t>
      </w:r>
    </w:p>
    <w:p>
      <w:pPr>
        <w:pStyle w:val="177"/>
        <w:rPr>
          <w:rFonts w:ascii="Times New Roman"/>
          <w:highlight w:val="none"/>
        </w:rPr>
      </w:pPr>
      <w:r>
        <w:rPr>
          <w:rFonts w:ascii="Times New Roman"/>
          <w:highlight w:val="none"/>
        </w:rPr>
        <w:t>应对审计记录进行保护，定期备份，避免受到未预期的删除、修改或覆盖等，审计日志应至少保存六个月。</w:t>
      </w:r>
    </w:p>
    <w:p>
      <w:pPr>
        <w:pStyle w:val="101"/>
        <w:spacing w:before="156" w:after="156"/>
        <w:ind w:left="0"/>
        <w:rPr>
          <w:rFonts w:ascii="Times New Roman"/>
          <w:highlight w:val="none"/>
        </w:rPr>
      </w:pPr>
      <w:bookmarkStart w:id="69" w:name="_Hlk104486996"/>
      <w:r>
        <w:rPr>
          <w:rFonts w:ascii="Times New Roman"/>
          <w:highlight w:val="none"/>
        </w:rPr>
        <w:t>通信安全</w:t>
      </w:r>
      <w:bookmarkEnd w:id="69"/>
    </w:p>
    <w:p>
      <w:pPr>
        <w:pStyle w:val="177"/>
        <w:numPr>
          <w:ilvl w:val="0"/>
          <w:numId w:val="0"/>
        </w:numPr>
        <w:ind w:left="851" w:hanging="426"/>
        <w:rPr>
          <w:rFonts w:ascii="Times New Roman"/>
          <w:highlight w:val="none"/>
        </w:rPr>
      </w:pPr>
      <w:r>
        <w:rPr>
          <w:rFonts w:ascii="Times New Roman"/>
          <w:highlight w:val="none"/>
        </w:rPr>
        <w:t>通信安全要求包括：</w:t>
      </w:r>
    </w:p>
    <w:p>
      <w:pPr>
        <w:pStyle w:val="177"/>
        <w:numPr>
          <w:ilvl w:val="0"/>
          <w:numId w:val="40"/>
        </w:numPr>
        <w:rPr>
          <w:rFonts w:ascii="Times New Roman"/>
          <w:highlight w:val="none"/>
        </w:rPr>
      </w:pPr>
      <w:r>
        <w:rPr>
          <w:rFonts w:ascii="Times New Roman"/>
          <w:highlight w:val="none"/>
        </w:rPr>
        <w:t>设备与工业互联网平台及其他应用建立通信时，应使用双向身份鉴别的方式，防止未授权的访问；</w:t>
      </w:r>
    </w:p>
    <w:p>
      <w:pPr>
        <w:pStyle w:val="177"/>
        <w:numPr>
          <w:ilvl w:val="0"/>
          <w:numId w:val="40"/>
        </w:numPr>
        <w:rPr>
          <w:rFonts w:ascii="Times New Roman"/>
          <w:highlight w:val="none"/>
        </w:rPr>
      </w:pPr>
      <w:r>
        <w:rPr>
          <w:rFonts w:ascii="Times New Roman"/>
          <w:highlight w:val="none"/>
        </w:rPr>
        <w:t>设备在网络通信过程中应使用加密的方式，保证传输数据的保密性。</w:t>
      </w:r>
    </w:p>
    <w:p>
      <w:pPr>
        <w:pStyle w:val="101"/>
        <w:spacing w:before="156" w:after="156"/>
        <w:ind w:left="0"/>
        <w:rPr>
          <w:rFonts w:ascii="Times New Roman"/>
          <w:highlight w:val="none"/>
        </w:rPr>
      </w:pPr>
      <w:r>
        <w:rPr>
          <w:rFonts w:ascii="Times New Roman"/>
          <w:highlight w:val="none"/>
        </w:rPr>
        <w:t>恶意代码防范</w:t>
      </w:r>
    </w:p>
    <w:p>
      <w:pPr>
        <w:pStyle w:val="177"/>
        <w:numPr>
          <w:ilvl w:val="0"/>
          <w:numId w:val="0"/>
        </w:numPr>
        <w:ind w:left="851" w:hanging="426"/>
        <w:rPr>
          <w:rFonts w:ascii="Times New Roman"/>
          <w:highlight w:val="none"/>
        </w:rPr>
      </w:pPr>
      <w:r>
        <w:rPr>
          <w:rFonts w:ascii="Times New Roman"/>
          <w:highlight w:val="none"/>
        </w:rPr>
        <w:t>恶意代码防范安全要求包括：</w:t>
      </w:r>
    </w:p>
    <w:p>
      <w:pPr>
        <w:pStyle w:val="177"/>
        <w:numPr>
          <w:ilvl w:val="0"/>
          <w:numId w:val="0"/>
        </w:numPr>
        <w:ind w:left="851" w:hanging="426"/>
        <w:rPr>
          <w:highlight w:val="none"/>
        </w:rPr>
      </w:pPr>
      <w:r>
        <w:rPr>
          <w:highlight w:val="none"/>
        </w:rPr>
        <w:t>网络</w:t>
      </w:r>
      <w:r>
        <w:rPr>
          <w:rFonts w:hint="eastAsia"/>
          <w:highlight w:val="none"/>
        </w:rPr>
        <w:t>侧</w:t>
      </w:r>
      <w:r>
        <w:rPr>
          <w:highlight w:val="none"/>
        </w:rPr>
        <w:t>应具有恶意代码</w:t>
      </w:r>
      <w:r>
        <w:rPr>
          <w:rFonts w:hint="eastAsia"/>
          <w:highlight w:val="none"/>
        </w:rPr>
        <w:t>防护</w:t>
      </w:r>
      <w:r>
        <w:rPr>
          <w:highlight w:val="none"/>
        </w:rPr>
        <w:t>能力。</w:t>
      </w:r>
    </w:p>
    <w:p>
      <w:pPr>
        <w:pStyle w:val="101"/>
        <w:spacing w:before="156" w:after="156"/>
        <w:ind w:left="0"/>
        <w:rPr>
          <w:rFonts w:ascii="Times New Roman"/>
          <w:highlight w:val="none"/>
        </w:rPr>
      </w:pPr>
      <w:r>
        <w:rPr>
          <w:rFonts w:ascii="Times New Roman"/>
          <w:highlight w:val="none"/>
        </w:rPr>
        <w:t>入侵防范</w:t>
      </w:r>
    </w:p>
    <w:p>
      <w:pPr>
        <w:pStyle w:val="177"/>
        <w:numPr>
          <w:ilvl w:val="0"/>
          <w:numId w:val="0"/>
        </w:numPr>
        <w:tabs>
          <w:tab w:val="left" w:pos="426"/>
          <w:tab w:val="clear" w:pos="851"/>
        </w:tabs>
        <w:ind w:left="426" w:hanging="1"/>
        <w:rPr>
          <w:rFonts w:ascii="Times New Roman"/>
          <w:highlight w:val="none"/>
        </w:rPr>
      </w:pPr>
      <w:r>
        <w:rPr>
          <w:rFonts w:ascii="Times New Roman"/>
          <w:highlight w:val="none"/>
        </w:rPr>
        <w:t>入侵防范安全要求包括：</w:t>
      </w:r>
    </w:p>
    <w:p>
      <w:pPr>
        <w:pStyle w:val="177"/>
        <w:numPr>
          <w:ilvl w:val="0"/>
          <w:numId w:val="41"/>
        </w:numPr>
        <w:rPr>
          <w:highlight w:val="none"/>
        </w:rPr>
      </w:pPr>
      <w:r>
        <w:rPr>
          <w:rFonts w:hint="eastAsia"/>
          <w:highlight w:val="none"/>
        </w:rPr>
        <w:t>应具备检测网络攻击行为的能力，并过滤已知的网络攻击数据包；</w:t>
      </w:r>
    </w:p>
    <w:p>
      <w:pPr>
        <w:pStyle w:val="177"/>
        <w:numPr>
          <w:ilvl w:val="0"/>
          <w:numId w:val="41"/>
        </w:numPr>
        <w:ind w:left="851" w:hanging="426"/>
        <w:rPr>
          <w:highlight w:val="none"/>
        </w:rPr>
      </w:pPr>
      <w:r>
        <w:rPr>
          <w:highlight w:val="none"/>
        </w:rPr>
        <w:t>当检测到攻击行为时，记录攻击源IP、攻击类型、攻击目的、攻击时间，在发生严重入侵事件时应及时告警。</w:t>
      </w:r>
    </w:p>
    <w:p>
      <w:pPr>
        <w:pStyle w:val="68"/>
        <w:spacing w:before="156" w:after="156"/>
        <w:rPr>
          <w:rFonts w:ascii="Times New Roman"/>
          <w:highlight w:val="none"/>
        </w:rPr>
      </w:pPr>
      <w:bookmarkStart w:id="70" w:name="_Toc102992488"/>
      <w:bookmarkStart w:id="71" w:name="_Toc102984546"/>
      <w:r>
        <w:rPr>
          <w:rFonts w:ascii="Times New Roman"/>
          <w:highlight w:val="none"/>
        </w:rPr>
        <w:t>基础设施层安全防护要求</w:t>
      </w:r>
      <w:bookmarkEnd w:id="70"/>
      <w:bookmarkEnd w:id="71"/>
    </w:p>
    <w:p>
      <w:pPr>
        <w:pStyle w:val="97"/>
        <w:spacing w:before="156" w:after="156"/>
        <w:ind w:left="0"/>
        <w:rPr>
          <w:rFonts w:ascii="Times New Roman"/>
          <w:highlight w:val="none"/>
        </w:rPr>
      </w:pPr>
      <w:bookmarkStart w:id="72" w:name="_Toc102984547"/>
      <w:r>
        <w:rPr>
          <w:rFonts w:ascii="Times New Roman"/>
          <w:highlight w:val="none"/>
        </w:rPr>
        <w:t>计算环境安全防护要求</w:t>
      </w:r>
      <w:bookmarkEnd w:id="72"/>
    </w:p>
    <w:p>
      <w:pPr>
        <w:pStyle w:val="101"/>
        <w:spacing w:before="156" w:after="156"/>
        <w:ind w:left="0"/>
        <w:rPr>
          <w:rFonts w:ascii="Times New Roman"/>
          <w:highlight w:val="none"/>
        </w:rPr>
      </w:pPr>
      <w:r>
        <w:rPr>
          <w:rFonts w:ascii="Times New Roman"/>
          <w:highlight w:val="none"/>
        </w:rPr>
        <w:t>身份鉴别</w:t>
      </w:r>
    </w:p>
    <w:p>
      <w:pPr>
        <w:pStyle w:val="177"/>
        <w:numPr>
          <w:ilvl w:val="0"/>
          <w:numId w:val="0"/>
        </w:numPr>
        <w:tabs>
          <w:tab w:val="left" w:pos="840"/>
          <w:tab w:val="clear" w:pos="851"/>
        </w:tabs>
        <w:ind w:left="851" w:hanging="426"/>
        <w:rPr>
          <w:rFonts w:ascii="Times New Roman"/>
          <w:highlight w:val="none"/>
        </w:rPr>
      </w:pPr>
      <w:r>
        <w:rPr>
          <w:rFonts w:ascii="Times New Roman"/>
          <w:highlight w:val="none"/>
        </w:rPr>
        <w:t>身份鉴别安全要求包括：</w:t>
      </w:r>
    </w:p>
    <w:p>
      <w:pPr>
        <w:pStyle w:val="177"/>
        <w:numPr>
          <w:ilvl w:val="0"/>
          <w:numId w:val="42"/>
        </w:numPr>
        <w:rPr>
          <w:rFonts w:ascii="Times New Roman"/>
          <w:highlight w:val="none"/>
        </w:rPr>
      </w:pPr>
      <w:r>
        <w:rPr>
          <w:rFonts w:ascii="Times New Roman"/>
          <w:highlight w:val="none"/>
        </w:rPr>
        <w:t>应对计算环境的运维用户进行身份标识和鉴别；</w:t>
      </w:r>
    </w:p>
    <w:p>
      <w:pPr>
        <w:numPr>
          <w:ilvl w:val="0"/>
          <w:numId w:val="4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计算环境管理用户身份标识应具有不易被冒用的特点，口令应满足复杂度要求并定期更换；</w:t>
      </w:r>
    </w:p>
    <w:p>
      <w:pPr>
        <w:numPr>
          <w:ilvl w:val="0"/>
          <w:numId w:val="4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应启用登录失败处理功能，可采取结束会话、限制非法登录次数和自动退出等措施；</w:t>
      </w:r>
    </w:p>
    <w:p>
      <w:pPr>
        <w:numPr>
          <w:ilvl w:val="0"/>
          <w:numId w:val="4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应采用安全方式防止用户鉴别认证信息泄露而造成身份冒用；</w:t>
      </w:r>
    </w:p>
    <w:p>
      <w:pPr>
        <w:numPr>
          <w:ilvl w:val="0"/>
          <w:numId w:val="42"/>
        </w:numPr>
        <w:adjustRightInd/>
        <w:spacing w:line="240" w:lineRule="auto"/>
        <w:rPr>
          <w:rFonts w:ascii="Times New Roman" w:hAnsi="Times New Roman"/>
          <w:kern w:val="0"/>
          <w:szCs w:val="20"/>
          <w:highlight w:val="none"/>
        </w:rPr>
      </w:pPr>
      <w:r>
        <w:rPr>
          <w:rFonts w:ascii="Times New Roman" w:hAnsi="Times New Roman"/>
          <w:highlight w:val="none"/>
        </w:rPr>
        <w:t>当对计算环境进行远程管理时，应采取加密措施，防止鉴别信息在网络传输过程中被窃取。</w:t>
      </w:r>
    </w:p>
    <w:p>
      <w:pPr>
        <w:pStyle w:val="101"/>
        <w:spacing w:before="156" w:after="156"/>
        <w:ind w:left="0"/>
        <w:rPr>
          <w:rFonts w:ascii="Times New Roman"/>
          <w:highlight w:val="none"/>
        </w:rPr>
      </w:pPr>
      <w:r>
        <w:rPr>
          <w:rFonts w:ascii="Times New Roman"/>
          <w:highlight w:val="none"/>
        </w:rPr>
        <w:t>访问控制</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访问控制安全要求包括：</w:t>
      </w:r>
    </w:p>
    <w:p>
      <w:pPr>
        <w:numPr>
          <w:ilvl w:val="0"/>
          <w:numId w:val="4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应采用技术措施对允许访问服务器的终端地址范围进行限制；</w:t>
      </w:r>
    </w:p>
    <w:p>
      <w:pPr>
        <w:numPr>
          <w:ilvl w:val="0"/>
          <w:numId w:val="4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应关闭服务器不使用的端口，防止非法访问；</w:t>
      </w:r>
    </w:p>
    <w:p>
      <w:pPr>
        <w:numPr>
          <w:ilvl w:val="0"/>
          <w:numId w:val="43"/>
        </w:numPr>
        <w:adjustRightInd/>
        <w:spacing w:line="240" w:lineRule="auto"/>
        <w:rPr>
          <w:rFonts w:ascii="Times New Roman" w:hAnsi="Times New Roman"/>
          <w:kern w:val="0"/>
          <w:szCs w:val="20"/>
          <w:highlight w:val="none"/>
        </w:rPr>
      </w:pPr>
      <w:r>
        <w:rPr>
          <w:rFonts w:ascii="Times New Roman" w:hAnsi="Times New Roman"/>
          <w:kern w:val="0"/>
          <w:highlight w:val="none"/>
        </w:rPr>
        <w:t>应基于白名单机制检测非法运行的进程或程序；</w:t>
      </w:r>
    </w:p>
    <w:p>
      <w:pPr>
        <w:numPr>
          <w:ilvl w:val="0"/>
          <w:numId w:val="4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应根据管理用户的角色分配权限，实现管理用户的权限分离，仅授予管理用户所需的最小权限。</w:t>
      </w:r>
    </w:p>
    <w:p>
      <w:pPr>
        <w:pStyle w:val="101"/>
        <w:spacing w:before="156" w:after="156"/>
        <w:ind w:left="0"/>
        <w:rPr>
          <w:rFonts w:ascii="Times New Roman"/>
          <w:highlight w:val="none"/>
        </w:rPr>
      </w:pPr>
      <w:r>
        <w:rPr>
          <w:rFonts w:ascii="Times New Roman"/>
          <w:highlight w:val="none"/>
        </w:rPr>
        <w:t>安全审计</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安全审计要求包括：</w:t>
      </w:r>
    </w:p>
    <w:p>
      <w:pPr>
        <w:numPr>
          <w:ilvl w:val="0"/>
          <w:numId w:val="4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审计范围应覆盖到服务器上的每个用户；</w:t>
      </w:r>
    </w:p>
    <w:p>
      <w:pPr>
        <w:numPr>
          <w:ilvl w:val="0"/>
          <w:numId w:val="4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审计内容应包括重要用户行为、系统资源的异常使用和重要系统命令的使用等重要的安全相关事件；</w:t>
      </w:r>
    </w:p>
    <w:p>
      <w:pPr>
        <w:numPr>
          <w:ilvl w:val="0"/>
          <w:numId w:val="4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审计记录应包括事件的日期、时间、类型、主体标识、客体标识和结果等；</w:t>
      </w:r>
    </w:p>
    <w:p>
      <w:pPr>
        <w:numPr>
          <w:ilvl w:val="0"/>
          <w:numId w:val="4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保护审计记录，有效期内避免受到非授权的访问、篡改、覆盖或删除等；</w:t>
      </w:r>
    </w:p>
    <w:p>
      <w:pPr>
        <w:numPr>
          <w:ilvl w:val="0"/>
          <w:numId w:val="4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审计记录留存时间不少于6个月；</w:t>
      </w:r>
    </w:p>
    <w:p>
      <w:pPr>
        <w:numPr>
          <w:ilvl w:val="0"/>
          <w:numId w:val="44"/>
        </w:numPr>
        <w:adjustRightInd/>
        <w:spacing w:line="240" w:lineRule="auto"/>
        <w:rPr>
          <w:rFonts w:ascii="Times New Roman" w:hAnsi="Times New Roman"/>
          <w:kern w:val="0"/>
          <w:szCs w:val="20"/>
          <w:highlight w:val="none"/>
        </w:rPr>
      </w:pPr>
      <w:r>
        <w:rPr>
          <w:rFonts w:ascii="Times New Roman" w:hAnsi="Times New Roman"/>
          <w:highlight w:val="none"/>
        </w:rPr>
        <w:t>应能够根据记录数据进行分析，并生成审计报表；</w:t>
      </w:r>
    </w:p>
    <w:p>
      <w:pPr>
        <w:pStyle w:val="101"/>
        <w:spacing w:before="156" w:after="156"/>
        <w:ind w:left="0"/>
        <w:rPr>
          <w:rFonts w:ascii="Times New Roman"/>
          <w:highlight w:val="none"/>
        </w:rPr>
      </w:pPr>
      <w:r>
        <w:rPr>
          <w:rFonts w:ascii="Times New Roman"/>
          <w:highlight w:val="none"/>
        </w:rPr>
        <w:t>资源控制</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资源控制安全要求包括：</w:t>
      </w:r>
    </w:p>
    <w:p>
      <w:pPr>
        <w:numPr>
          <w:ilvl w:val="0"/>
          <w:numId w:val="4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应根据安全策略，设置登录终端的会话数量；</w:t>
      </w:r>
    </w:p>
    <w:p>
      <w:pPr>
        <w:numPr>
          <w:ilvl w:val="0"/>
          <w:numId w:val="4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应根据安全策略设置登录终端的操作超时锁定；</w:t>
      </w:r>
    </w:p>
    <w:p>
      <w:pPr>
        <w:numPr>
          <w:ilvl w:val="0"/>
          <w:numId w:val="45"/>
        </w:numPr>
        <w:adjustRightInd/>
        <w:spacing w:line="240" w:lineRule="auto"/>
        <w:rPr>
          <w:rFonts w:ascii="Times New Roman" w:hAnsi="Times New Roman"/>
          <w:kern w:val="0"/>
          <w:szCs w:val="20"/>
          <w:highlight w:val="none"/>
        </w:rPr>
      </w:pPr>
      <w:r>
        <w:rPr>
          <w:rFonts w:ascii="Times New Roman" w:hAnsi="Times New Roman"/>
          <w:highlight w:val="none"/>
        </w:rPr>
        <w:t>应对重要服务器进行性能监测，包括服务器的CPU、硬盘、内存、网络等资源的使用情况，发现异常情况提供告警，并进行相应处置。</w:t>
      </w:r>
    </w:p>
    <w:p>
      <w:pPr>
        <w:pStyle w:val="101"/>
        <w:spacing w:before="156" w:after="156"/>
        <w:ind w:left="0"/>
        <w:rPr>
          <w:rFonts w:ascii="Times New Roman"/>
          <w:highlight w:val="none"/>
        </w:rPr>
      </w:pPr>
      <w:r>
        <w:rPr>
          <w:rFonts w:ascii="Times New Roman"/>
          <w:highlight w:val="none"/>
        </w:rPr>
        <w:t>恶意代码防范</w:t>
      </w:r>
    </w:p>
    <w:p>
      <w:pPr>
        <w:tabs>
          <w:tab w:val="left" w:pos="840"/>
        </w:tabs>
        <w:adjustRightInd/>
        <w:spacing w:line="240" w:lineRule="auto"/>
        <w:ind w:firstLine="420" w:firstLineChars="200"/>
        <w:rPr>
          <w:rFonts w:ascii="Times New Roman" w:hAnsi="Times New Roman"/>
          <w:kern w:val="0"/>
          <w:szCs w:val="20"/>
          <w:highlight w:val="none"/>
        </w:rPr>
      </w:pPr>
      <w:r>
        <w:rPr>
          <w:rFonts w:ascii="Times New Roman" w:hAnsi="Times New Roman"/>
          <w:highlight w:val="none"/>
        </w:rPr>
        <w:t>恶意代码防范安全要求包括：</w:t>
      </w:r>
    </w:p>
    <w:p>
      <w:pPr>
        <w:tabs>
          <w:tab w:val="left" w:pos="840"/>
        </w:tabs>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应安装防恶意代码软件，并及时更新防恶意代码软件版本和恶意代码库。</w:t>
      </w:r>
    </w:p>
    <w:p>
      <w:pPr>
        <w:pStyle w:val="101"/>
        <w:spacing w:before="156" w:after="156"/>
        <w:ind w:left="0"/>
        <w:rPr>
          <w:rFonts w:ascii="Times New Roman"/>
          <w:highlight w:val="none"/>
        </w:rPr>
      </w:pPr>
      <w:r>
        <w:rPr>
          <w:rFonts w:ascii="Times New Roman"/>
          <w:highlight w:val="none"/>
        </w:rPr>
        <w:t>入侵防范</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入侵防范安全要求包括：</w:t>
      </w:r>
    </w:p>
    <w:p>
      <w:pPr>
        <w:numPr>
          <w:ilvl w:val="0"/>
          <w:numId w:val="4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所使用的操作系统应遵循最小安装的原则，仅安装需要的组件和应用程序，保持系统补丁及时得到更新；</w:t>
      </w:r>
    </w:p>
    <w:p>
      <w:pPr>
        <w:numPr>
          <w:ilvl w:val="0"/>
          <w:numId w:val="4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应能够检测到对重要服务器进行入侵的行为，能够记录入侵的源IP、攻击的类型、攻击的目的、攻击的时间，并在发生严重入侵事件时提供报警；</w:t>
      </w:r>
    </w:p>
    <w:p>
      <w:pPr>
        <w:numPr>
          <w:ilvl w:val="0"/>
          <w:numId w:val="46"/>
        </w:numPr>
        <w:adjustRightInd/>
        <w:spacing w:line="240" w:lineRule="auto"/>
        <w:rPr>
          <w:rFonts w:ascii="Times New Roman" w:hAnsi="Times New Roman"/>
          <w:kern w:val="0"/>
          <w:szCs w:val="20"/>
          <w:highlight w:val="none"/>
        </w:rPr>
      </w:pPr>
      <w:r>
        <w:rPr>
          <w:rFonts w:ascii="Times New Roman" w:hAnsi="Times New Roman"/>
          <w:highlight w:val="none"/>
        </w:rPr>
        <w:t>应支持对数据库攻击行为进行检测和防护；</w:t>
      </w:r>
    </w:p>
    <w:p>
      <w:pPr>
        <w:numPr>
          <w:ilvl w:val="0"/>
          <w:numId w:val="46"/>
        </w:numPr>
        <w:adjustRightInd/>
        <w:spacing w:line="240" w:lineRule="auto"/>
        <w:rPr>
          <w:rFonts w:ascii="Times New Roman" w:hAnsi="Times New Roman"/>
          <w:kern w:val="0"/>
          <w:szCs w:val="20"/>
          <w:highlight w:val="none"/>
        </w:rPr>
      </w:pPr>
      <w:r>
        <w:rPr>
          <w:rFonts w:ascii="Times New Roman" w:hAnsi="Times New Roman"/>
          <w:highlight w:val="none"/>
        </w:rPr>
        <w:t>应能够对重要程序的完整性进行检测，并在检测到完整性受到破坏后具有恢复的措施。</w:t>
      </w:r>
    </w:p>
    <w:p>
      <w:pPr>
        <w:pStyle w:val="101"/>
        <w:spacing w:before="156" w:after="156"/>
        <w:ind w:left="0"/>
        <w:rPr>
          <w:rFonts w:ascii="Times New Roman"/>
          <w:highlight w:val="none"/>
        </w:rPr>
      </w:pPr>
      <w:r>
        <w:rPr>
          <w:rFonts w:ascii="Times New Roman"/>
          <w:highlight w:val="none"/>
        </w:rPr>
        <w:t>其他安全</w:t>
      </w:r>
    </w:p>
    <w:p>
      <w:pPr>
        <w:pStyle w:val="177"/>
        <w:numPr>
          <w:ilvl w:val="0"/>
          <w:numId w:val="0"/>
        </w:numPr>
        <w:ind w:left="851" w:hanging="426"/>
        <w:rPr>
          <w:rFonts w:ascii="Times New Roman"/>
          <w:highlight w:val="none"/>
        </w:rPr>
      </w:pPr>
      <w:r>
        <w:rPr>
          <w:rFonts w:ascii="Times New Roman"/>
          <w:highlight w:val="none"/>
        </w:rPr>
        <w:t>其他安全防护要求包括：</w:t>
      </w:r>
    </w:p>
    <w:p>
      <w:pPr>
        <w:pStyle w:val="177"/>
        <w:numPr>
          <w:ilvl w:val="0"/>
          <w:numId w:val="0"/>
        </w:numPr>
        <w:ind w:left="851" w:hanging="426"/>
        <w:rPr>
          <w:rFonts w:ascii="Times New Roman"/>
          <w:highlight w:val="none"/>
        </w:rPr>
      </w:pPr>
      <w:r>
        <w:rPr>
          <w:rFonts w:ascii="Times New Roman"/>
          <w:highlight w:val="none"/>
        </w:rPr>
        <w:t xml:space="preserve">应制定平台计算环境的安全基线，定期检查。 </w:t>
      </w:r>
    </w:p>
    <w:p>
      <w:pPr>
        <w:pStyle w:val="97"/>
        <w:spacing w:before="156" w:after="156"/>
        <w:ind w:left="0"/>
        <w:rPr>
          <w:rFonts w:ascii="Times New Roman"/>
          <w:highlight w:val="none"/>
        </w:rPr>
      </w:pPr>
      <w:bookmarkStart w:id="73" w:name="_Toc102984548"/>
      <w:r>
        <w:rPr>
          <w:rFonts w:ascii="Times New Roman"/>
          <w:highlight w:val="none"/>
        </w:rPr>
        <w:t>网络安全防护要求</w:t>
      </w:r>
      <w:bookmarkEnd w:id="73"/>
    </w:p>
    <w:p>
      <w:pPr>
        <w:pStyle w:val="101"/>
        <w:spacing w:before="156" w:after="156"/>
        <w:ind w:left="0"/>
        <w:rPr>
          <w:rFonts w:ascii="Times New Roman"/>
          <w:highlight w:val="none"/>
        </w:rPr>
      </w:pPr>
      <w:r>
        <w:rPr>
          <w:rFonts w:ascii="Times New Roman"/>
          <w:highlight w:val="none"/>
        </w:rPr>
        <w:t>网络拓扑结构安全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网络拓扑结构安全防护要求包括：</w:t>
      </w:r>
    </w:p>
    <w:p>
      <w:pPr>
        <w:numPr>
          <w:ilvl w:val="0"/>
          <w:numId w:val="4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应绘制与当前运行情况相符的网络拓扑结构图；</w:t>
      </w:r>
    </w:p>
    <w:p>
      <w:pPr>
        <w:numPr>
          <w:ilvl w:val="0"/>
          <w:numId w:val="4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应保证关键网络设备的业务处理能力具备冗余空间，满足业务高峰期需要；</w:t>
      </w:r>
    </w:p>
    <w:p>
      <w:pPr>
        <w:numPr>
          <w:ilvl w:val="0"/>
          <w:numId w:val="4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应保证接入网络和核心网络的带宽满足业务高峰期需要；</w:t>
      </w:r>
    </w:p>
    <w:p>
      <w:pPr>
        <w:numPr>
          <w:ilvl w:val="0"/>
          <w:numId w:val="4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应根据平台服务的类型、功能及租户的不同划分不同的子网、网段或安全组；</w:t>
      </w:r>
    </w:p>
    <w:p>
      <w:pPr>
        <w:numPr>
          <w:ilvl w:val="0"/>
          <w:numId w:val="47"/>
        </w:numPr>
        <w:adjustRightInd/>
        <w:spacing w:line="240" w:lineRule="auto"/>
        <w:rPr>
          <w:rFonts w:ascii="Times New Roman" w:hAnsi="Times New Roman"/>
          <w:kern w:val="0"/>
          <w:szCs w:val="20"/>
          <w:highlight w:val="none"/>
        </w:rPr>
      </w:pPr>
      <w:r>
        <w:rPr>
          <w:rFonts w:ascii="Times New Roman" w:hAnsi="Times New Roman"/>
          <w:highlight w:val="none"/>
        </w:rPr>
        <w:t>应按照用户服务级别协议的高低次序来指定带宽分配优先级别，保证在网络发生拥堵的时候优先保护高级别用户的服务通信。</w:t>
      </w:r>
    </w:p>
    <w:p>
      <w:pPr>
        <w:pStyle w:val="101"/>
        <w:spacing w:before="156" w:after="156"/>
        <w:ind w:left="0"/>
        <w:rPr>
          <w:rFonts w:ascii="Times New Roman"/>
          <w:highlight w:val="none"/>
        </w:rPr>
      </w:pPr>
      <w:r>
        <w:rPr>
          <w:rFonts w:ascii="Times New Roman"/>
          <w:highlight w:val="none"/>
        </w:rPr>
        <w:t>访问控制</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访问控制安全要求包括：</w:t>
      </w:r>
    </w:p>
    <w:p>
      <w:pPr>
        <w:numPr>
          <w:ilvl w:val="0"/>
          <w:numId w:val="4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应在（子）网络或网段边界部署访问控制设备并启用访问控制功能，或通过安全组设置访问控制策略；</w:t>
      </w:r>
    </w:p>
    <w:p>
      <w:pPr>
        <w:numPr>
          <w:ilvl w:val="0"/>
          <w:numId w:val="4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应能根据会话状态信息为数据流提供明确的允许/拒绝访问的能力。</w:t>
      </w:r>
    </w:p>
    <w:p>
      <w:pPr>
        <w:pStyle w:val="101"/>
        <w:spacing w:before="156" w:after="156"/>
        <w:ind w:left="0"/>
        <w:rPr>
          <w:rFonts w:ascii="Times New Roman"/>
          <w:highlight w:val="none"/>
        </w:rPr>
      </w:pPr>
      <w:r>
        <w:rPr>
          <w:rFonts w:ascii="Times New Roman"/>
          <w:highlight w:val="none"/>
        </w:rPr>
        <w:t>安全审计</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安全审计要求包括：</w:t>
      </w:r>
    </w:p>
    <w:p>
      <w:pPr>
        <w:numPr>
          <w:ilvl w:val="0"/>
          <w:numId w:val="4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应对网络系统中的网络设备运行状况、网络流量、管理员和运维人员行为等进行日志记录；</w:t>
      </w:r>
    </w:p>
    <w:p>
      <w:pPr>
        <w:numPr>
          <w:ilvl w:val="0"/>
          <w:numId w:val="4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审计记录应包括事件的日期和时间、用户、事件类型、事件是否成功及其他与审计相关的信息；</w:t>
      </w:r>
    </w:p>
    <w:p>
      <w:pPr>
        <w:numPr>
          <w:ilvl w:val="0"/>
          <w:numId w:val="4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应保证所有网络设备的系统时间自动</w:t>
      </w:r>
      <w:r>
        <w:rPr>
          <w:rFonts w:hint="eastAsia" w:ascii="Times New Roman" w:hAnsi="Times New Roman"/>
          <w:kern w:val="0"/>
          <w:szCs w:val="20"/>
          <w:highlight w:val="none"/>
        </w:rPr>
        <w:t>同步</w:t>
      </w:r>
      <w:r>
        <w:rPr>
          <w:rFonts w:ascii="Times New Roman" w:hAnsi="Times New Roman"/>
          <w:kern w:val="0"/>
          <w:szCs w:val="20"/>
          <w:highlight w:val="none"/>
        </w:rPr>
        <w:t>；</w:t>
      </w:r>
    </w:p>
    <w:p>
      <w:pPr>
        <w:numPr>
          <w:ilvl w:val="0"/>
          <w:numId w:val="4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应对审计记录进行保护，定期备份，有效期内避免受到非授权的访问、篡改、覆盖或删除等；</w:t>
      </w:r>
    </w:p>
    <w:p>
      <w:pPr>
        <w:numPr>
          <w:ilvl w:val="0"/>
          <w:numId w:val="49"/>
        </w:numPr>
        <w:adjustRightInd/>
        <w:spacing w:line="240" w:lineRule="auto"/>
        <w:rPr>
          <w:rFonts w:ascii="Times New Roman" w:hAnsi="Times New Roman"/>
          <w:kern w:val="0"/>
          <w:szCs w:val="20"/>
          <w:highlight w:val="none"/>
        </w:rPr>
      </w:pPr>
      <w:r>
        <w:rPr>
          <w:rFonts w:ascii="Times New Roman" w:hAnsi="Times New Roman"/>
          <w:highlight w:val="none"/>
        </w:rPr>
        <w:t>应能够根据记录数据进行分析，发现异常能及时告警，并生成审计报表。</w:t>
      </w:r>
    </w:p>
    <w:p>
      <w:pPr>
        <w:pStyle w:val="101"/>
        <w:spacing w:before="156" w:after="156"/>
        <w:ind w:left="0"/>
        <w:rPr>
          <w:rFonts w:ascii="Times New Roman"/>
          <w:highlight w:val="none"/>
        </w:rPr>
      </w:pPr>
      <w:r>
        <w:rPr>
          <w:rFonts w:ascii="Times New Roman"/>
          <w:highlight w:val="none"/>
        </w:rPr>
        <w:t>恶意代码防范</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恶意代码防范安全要求包括：</w:t>
      </w:r>
    </w:p>
    <w:p>
      <w:pPr>
        <w:numPr>
          <w:ilvl w:val="0"/>
          <w:numId w:val="5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应能够检测到恶意代码</w:t>
      </w:r>
      <w:r>
        <w:rPr>
          <w:rFonts w:ascii="Times New Roman" w:hAnsi="Times New Roman"/>
          <w:highlight w:val="none"/>
        </w:rPr>
        <w:t>的异常行为并及时阻断；</w:t>
      </w:r>
    </w:p>
    <w:p>
      <w:pPr>
        <w:numPr>
          <w:ilvl w:val="0"/>
          <w:numId w:val="50"/>
        </w:numPr>
        <w:adjustRightInd/>
        <w:spacing w:line="240" w:lineRule="auto"/>
        <w:rPr>
          <w:rFonts w:ascii="Times New Roman" w:hAnsi="Times New Roman"/>
          <w:kern w:val="0"/>
          <w:szCs w:val="20"/>
          <w:highlight w:val="none"/>
        </w:rPr>
      </w:pPr>
      <w:r>
        <w:rPr>
          <w:rFonts w:ascii="Times New Roman" w:hAnsi="Times New Roman"/>
          <w:highlight w:val="none"/>
        </w:rPr>
        <w:t>应周期性地维护恶意代码库的升级和检测系统的更新。</w:t>
      </w:r>
    </w:p>
    <w:p>
      <w:pPr>
        <w:pStyle w:val="101"/>
        <w:spacing w:before="156" w:after="156"/>
        <w:ind w:left="0"/>
        <w:rPr>
          <w:rFonts w:ascii="Times New Roman"/>
          <w:highlight w:val="none"/>
        </w:rPr>
      </w:pPr>
      <w:r>
        <w:rPr>
          <w:rFonts w:ascii="Times New Roman"/>
          <w:highlight w:val="none"/>
        </w:rPr>
        <w:t>网络设备安全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网络设备安全防护要求包括：</w:t>
      </w:r>
    </w:p>
    <w:p>
      <w:pPr>
        <w:numPr>
          <w:ilvl w:val="0"/>
          <w:numId w:val="51"/>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应对登录网络设备的用户进行身份鉴别；</w:t>
      </w:r>
    </w:p>
    <w:p>
      <w:pPr>
        <w:numPr>
          <w:ilvl w:val="0"/>
          <w:numId w:val="51"/>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应对网络设备的管理员登录地址进行限制；</w:t>
      </w:r>
    </w:p>
    <w:p>
      <w:pPr>
        <w:numPr>
          <w:ilvl w:val="0"/>
          <w:numId w:val="51"/>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网络设备用户的标识应唯一；</w:t>
      </w:r>
    </w:p>
    <w:p>
      <w:pPr>
        <w:numPr>
          <w:ilvl w:val="0"/>
          <w:numId w:val="51"/>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身份鉴别信息应具有复杂度要求并定期更换。</w:t>
      </w:r>
    </w:p>
    <w:p>
      <w:pPr>
        <w:pStyle w:val="101"/>
        <w:spacing w:before="156" w:after="156"/>
        <w:ind w:left="0"/>
        <w:rPr>
          <w:rFonts w:ascii="Times New Roman"/>
          <w:highlight w:val="none"/>
        </w:rPr>
      </w:pPr>
      <w:r>
        <w:rPr>
          <w:rFonts w:ascii="Times New Roman"/>
          <w:highlight w:val="none"/>
        </w:rPr>
        <w:t>网络安全监测</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网络安全监测防护要求包括：</w:t>
      </w:r>
    </w:p>
    <w:p>
      <w:pPr>
        <w:numPr>
          <w:ilvl w:val="0"/>
          <w:numId w:val="5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应对网络系统中的网络设备运行状况、网络流量、管理员和运维人员行为等进行监测，识别和记录异常状态；</w:t>
      </w:r>
    </w:p>
    <w:p>
      <w:pPr>
        <w:numPr>
          <w:ilvl w:val="0"/>
          <w:numId w:val="5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应能够支持对持续大流量攻击进行识别、报警和阻断的能力；</w:t>
      </w:r>
    </w:p>
    <w:p>
      <w:pPr>
        <w:numPr>
          <w:ilvl w:val="0"/>
          <w:numId w:val="5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应能够监视对平台服务存在的以下攻击行为：端口扫描、木马后门攻击、拒绝服务攻击、缓冲区溢出攻击、IP碎片攻击和网络蠕虫攻击等；</w:t>
      </w:r>
    </w:p>
    <w:p>
      <w:pPr>
        <w:numPr>
          <w:ilvl w:val="0"/>
          <w:numId w:val="52"/>
        </w:numPr>
        <w:adjustRightInd/>
        <w:spacing w:line="240" w:lineRule="auto"/>
        <w:rPr>
          <w:rFonts w:ascii="Times New Roman" w:hAnsi="Times New Roman"/>
          <w:kern w:val="0"/>
          <w:szCs w:val="20"/>
          <w:highlight w:val="none"/>
        </w:rPr>
      </w:pPr>
      <w:r>
        <w:rPr>
          <w:rFonts w:ascii="Times New Roman" w:hAnsi="Times New Roman"/>
          <w:highlight w:val="none"/>
        </w:rPr>
        <w:t>当检测到攻击行为时，记录攻击源IP、攻击类型、攻击目的、攻击时间，在发生严重入侵事件时应提供报警。</w:t>
      </w:r>
    </w:p>
    <w:p>
      <w:pPr>
        <w:pStyle w:val="97"/>
        <w:spacing w:before="156" w:after="156"/>
        <w:ind w:left="0"/>
        <w:rPr>
          <w:rFonts w:ascii="Times New Roman"/>
          <w:highlight w:val="none"/>
        </w:rPr>
      </w:pPr>
      <w:bookmarkStart w:id="74" w:name="_Toc102984549"/>
      <w:r>
        <w:rPr>
          <w:rFonts w:ascii="Times New Roman"/>
          <w:highlight w:val="none"/>
        </w:rPr>
        <w:t>虚拟化安全防护要求</w:t>
      </w:r>
      <w:bookmarkEnd w:id="74"/>
    </w:p>
    <w:p>
      <w:pPr>
        <w:pStyle w:val="101"/>
        <w:spacing w:before="156" w:after="156"/>
        <w:ind w:left="0"/>
        <w:rPr>
          <w:rFonts w:ascii="Times New Roman"/>
          <w:highlight w:val="none"/>
        </w:rPr>
      </w:pPr>
      <w:r>
        <w:rPr>
          <w:rFonts w:ascii="Times New Roman"/>
          <w:highlight w:val="none"/>
        </w:rPr>
        <w:t>虚拟机安全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虚拟机安全防护要求包括：</w:t>
      </w:r>
    </w:p>
    <w:p>
      <w:pPr>
        <w:numPr>
          <w:ilvl w:val="0"/>
          <w:numId w:val="5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应支持虚拟机之间、虚拟机与宿主机之间的隔离；</w:t>
      </w:r>
    </w:p>
    <w:p>
      <w:pPr>
        <w:numPr>
          <w:ilvl w:val="0"/>
          <w:numId w:val="5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应支持虚拟机部署防病毒软件；</w:t>
      </w:r>
    </w:p>
    <w:p>
      <w:pPr>
        <w:numPr>
          <w:ilvl w:val="0"/>
          <w:numId w:val="5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应具有对虚拟机恶意攻击等行为的识别并处置的能力；</w:t>
      </w:r>
    </w:p>
    <w:p>
      <w:pPr>
        <w:numPr>
          <w:ilvl w:val="0"/>
          <w:numId w:val="5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应支持对虚拟机脆弱性进行检测的能力；</w:t>
      </w:r>
    </w:p>
    <w:p>
      <w:pPr>
        <w:numPr>
          <w:ilvl w:val="0"/>
          <w:numId w:val="53"/>
        </w:numPr>
        <w:adjustRightInd/>
        <w:spacing w:line="240" w:lineRule="auto"/>
        <w:rPr>
          <w:rFonts w:ascii="Times New Roman" w:hAnsi="Times New Roman"/>
          <w:kern w:val="0"/>
          <w:szCs w:val="20"/>
          <w:highlight w:val="none"/>
        </w:rPr>
      </w:pPr>
      <w:r>
        <w:rPr>
          <w:rFonts w:ascii="Times New Roman" w:hAnsi="Times New Roman"/>
          <w:spacing w:val="-3"/>
          <w:kern w:val="0"/>
          <w:highlight w:val="none"/>
        </w:rPr>
        <w:t>应确保虚拟机操作系统的完整性，确保虚拟机操作系统不被篡改，且确保虚拟机实现安全启动；</w:t>
      </w:r>
    </w:p>
    <w:p>
      <w:pPr>
        <w:numPr>
          <w:ilvl w:val="0"/>
          <w:numId w:val="53"/>
        </w:numPr>
        <w:adjustRightInd/>
        <w:spacing w:line="240" w:lineRule="auto"/>
        <w:rPr>
          <w:rFonts w:ascii="Times New Roman" w:hAnsi="Times New Roman"/>
          <w:kern w:val="0"/>
          <w:szCs w:val="20"/>
          <w:highlight w:val="none"/>
        </w:rPr>
      </w:pPr>
      <w:r>
        <w:rPr>
          <w:rFonts w:ascii="Times New Roman" w:hAnsi="Times New Roman"/>
          <w:highlight w:val="none"/>
        </w:rPr>
        <w:t>应对虚拟机镜像文件进行完整性校验，确保虚拟机镜像不被篡改</w:t>
      </w:r>
    </w:p>
    <w:p>
      <w:pPr>
        <w:numPr>
          <w:ilvl w:val="0"/>
          <w:numId w:val="53"/>
        </w:numPr>
        <w:adjustRightInd/>
        <w:spacing w:line="240" w:lineRule="auto"/>
        <w:rPr>
          <w:rFonts w:ascii="Times New Roman" w:hAnsi="Times New Roman"/>
          <w:kern w:val="0"/>
          <w:szCs w:val="20"/>
          <w:highlight w:val="none"/>
        </w:rPr>
      </w:pPr>
      <w:r>
        <w:rPr>
          <w:rFonts w:ascii="Times New Roman" w:hAnsi="Times New Roman"/>
          <w:highlight w:val="none"/>
        </w:rPr>
        <w:t>应支持发现虚拟机操作系统漏洞的能力，支持漏洞修复；</w:t>
      </w:r>
    </w:p>
    <w:p>
      <w:pPr>
        <w:numPr>
          <w:ilvl w:val="0"/>
          <w:numId w:val="53"/>
        </w:numPr>
        <w:adjustRightInd/>
        <w:spacing w:line="240" w:lineRule="auto"/>
        <w:rPr>
          <w:rFonts w:ascii="Times New Roman" w:hAnsi="Times New Roman"/>
          <w:kern w:val="0"/>
          <w:szCs w:val="20"/>
          <w:highlight w:val="none"/>
        </w:rPr>
      </w:pPr>
      <w:r>
        <w:rPr>
          <w:rFonts w:ascii="Times New Roman" w:hAnsi="Times New Roman"/>
          <w:highlight w:val="none"/>
        </w:rPr>
        <w:t>应提供最新版本的虚拟机镜像和补丁版本。</w:t>
      </w:r>
    </w:p>
    <w:p>
      <w:pPr>
        <w:pStyle w:val="101"/>
        <w:spacing w:before="156" w:after="156"/>
        <w:ind w:left="0"/>
        <w:rPr>
          <w:rFonts w:ascii="Times New Roman"/>
          <w:highlight w:val="none"/>
        </w:rPr>
      </w:pPr>
      <w:r>
        <w:rPr>
          <w:rFonts w:ascii="Times New Roman"/>
          <w:highlight w:val="none"/>
        </w:rPr>
        <w:t>虚拟机网络安全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虚拟机网络安全防护要求包括：</w:t>
      </w:r>
    </w:p>
    <w:p>
      <w:pPr>
        <w:numPr>
          <w:ilvl w:val="0"/>
          <w:numId w:val="5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应部署一定的访问控制安全策略，以实现虚拟机之间、虚拟机与虚拟机管理平台之间、虚拟机与外部网络之间的安全访问控制；</w:t>
      </w:r>
    </w:p>
    <w:p>
      <w:pPr>
        <w:numPr>
          <w:ilvl w:val="0"/>
          <w:numId w:val="5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应能检测到虚拟机与宿主机、虚拟机与虚拟机之间的异常流量；</w:t>
      </w:r>
    </w:p>
    <w:p>
      <w:pPr>
        <w:numPr>
          <w:ilvl w:val="0"/>
          <w:numId w:val="5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应支持采用VLAN或者分布式虚拟交换机等技术，以实现网络的安全隔离；</w:t>
      </w:r>
    </w:p>
    <w:p>
      <w:pPr>
        <w:numPr>
          <w:ilvl w:val="0"/>
          <w:numId w:val="5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应采用VxLAN、GRE等手段支持不同租户之间的网络流量隔离；</w:t>
      </w:r>
    </w:p>
    <w:p>
      <w:pPr>
        <w:numPr>
          <w:ilvl w:val="0"/>
          <w:numId w:val="54"/>
        </w:numPr>
        <w:adjustRightInd/>
        <w:spacing w:line="240" w:lineRule="auto"/>
        <w:rPr>
          <w:rFonts w:ascii="Times New Roman" w:hAnsi="Times New Roman"/>
          <w:kern w:val="0"/>
          <w:szCs w:val="20"/>
          <w:highlight w:val="none"/>
        </w:rPr>
      </w:pPr>
      <w:r>
        <w:rPr>
          <w:rFonts w:ascii="Times New Roman" w:hAnsi="Times New Roman"/>
          <w:highlight w:val="none"/>
        </w:rPr>
        <w:t>可支持用户选择使用第三方安全产品。</w:t>
      </w:r>
    </w:p>
    <w:p>
      <w:pPr>
        <w:pStyle w:val="101"/>
        <w:spacing w:before="156" w:after="156"/>
        <w:ind w:left="0"/>
        <w:rPr>
          <w:rFonts w:ascii="Times New Roman"/>
          <w:highlight w:val="none"/>
        </w:rPr>
      </w:pPr>
      <w:r>
        <w:rPr>
          <w:rFonts w:ascii="Times New Roman"/>
          <w:highlight w:val="none"/>
        </w:rPr>
        <w:t>虚拟化平台安全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虚拟化平台安全防护要求包括：</w:t>
      </w:r>
    </w:p>
    <w:p>
      <w:pPr>
        <w:numPr>
          <w:ilvl w:val="0"/>
          <w:numId w:val="5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应保证每个虚拟机能获得相对独立的物理资源，并能屏蔽虚拟资源故障，确保某个虚拟机崩溃后不影响虚拟机监控器及其他虚拟机；</w:t>
      </w:r>
    </w:p>
    <w:p>
      <w:pPr>
        <w:numPr>
          <w:ilvl w:val="0"/>
          <w:numId w:val="5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应保证不同虚拟机之间的虚拟CPU指令隔离；</w:t>
      </w:r>
    </w:p>
    <w:p>
      <w:pPr>
        <w:numPr>
          <w:ilvl w:val="0"/>
          <w:numId w:val="5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应保证不同虚拟机之间的内存隔离，内存被释放或再分配给其他虚拟机前得到完全释放；</w:t>
      </w:r>
    </w:p>
    <w:p>
      <w:pPr>
        <w:numPr>
          <w:ilvl w:val="0"/>
          <w:numId w:val="5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应保证虚拟机只能访问分配给该虚拟机的存储空间（包括内存空间和磁盘空间）；</w:t>
      </w:r>
    </w:p>
    <w:p>
      <w:pPr>
        <w:numPr>
          <w:ilvl w:val="0"/>
          <w:numId w:val="5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应对虚拟机的运行状态、资源占用等信息进行监控；</w:t>
      </w:r>
    </w:p>
    <w:p>
      <w:pPr>
        <w:numPr>
          <w:ilvl w:val="0"/>
          <w:numId w:val="5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应支持发现虚拟化平台漏洞的能力，支持漏洞修复；</w:t>
      </w:r>
    </w:p>
    <w:p>
      <w:pPr>
        <w:numPr>
          <w:ilvl w:val="0"/>
          <w:numId w:val="5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应支持平台内采用的PKI、SSL认证等各类数字证书实施统一管理，支持用户按需更换。</w:t>
      </w:r>
    </w:p>
    <w:p>
      <w:pPr>
        <w:pStyle w:val="68"/>
        <w:spacing w:before="156" w:after="156"/>
        <w:rPr>
          <w:rFonts w:ascii="Times New Roman"/>
          <w:highlight w:val="none"/>
        </w:rPr>
      </w:pPr>
      <w:bookmarkStart w:id="75" w:name="_Toc102992489"/>
      <w:bookmarkStart w:id="76" w:name="_Toc102984550"/>
      <w:r>
        <w:rPr>
          <w:rFonts w:ascii="Times New Roman"/>
          <w:highlight w:val="none"/>
        </w:rPr>
        <w:t>平台层安全防护要求</w:t>
      </w:r>
      <w:bookmarkEnd w:id="75"/>
      <w:bookmarkEnd w:id="76"/>
    </w:p>
    <w:p>
      <w:pPr>
        <w:pStyle w:val="97"/>
        <w:spacing w:before="156" w:after="156"/>
        <w:ind w:left="0"/>
        <w:rPr>
          <w:rFonts w:ascii="Times New Roman"/>
          <w:highlight w:val="none"/>
        </w:rPr>
      </w:pPr>
      <w:bookmarkStart w:id="77" w:name="_Toc102984551"/>
      <w:r>
        <w:rPr>
          <w:rFonts w:ascii="Times New Roman"/>
          <w:highlight w:val="none"/>
        </w:rPr>
        <w:t>微服务组件安全防护要求</w:t>
      </w:r>
      <w:bookmarkEnd w:id="77"/>
    </w:p>
    <w:p>
      <w:pPr>
        <w:pStyle w:val="101"/>
        <w:spacing w:before="156" w:after="156"/>
        <w:ind w:left="0"/>
        <w:rPr>
          <w:rFonts w:ascii="Times New Roman"/>
          <w:highlight w:val="none"/>
        </w:rPr>
      </w:pPr>
      <w:r>
        <w:rPr>
          <w:rFonts w:ascii="Times New Roman"/>
          <w:highlight w:val="none"/>
        </w:rPr>
        <w:t>身份鉴别</w:t>
      </w:r>
    </w:p>
    <w:p>
      <w:pPr>
        <w:pStyle w:val="177"/>
        <w:numPr>
          <w:ilvl w:val="0"/>
          <w:numId w:val="0"/>
        </w:numPr>
        <w:ind w:left="851" w:hanging="426"/>
        <w:rPr>
          <w:rFonts w:ascii="Times New Roman"/>
          <w:highlight w:val="none"/>
        </w:rPr>
      </w:pPr>
      <w:r>
        <w:rPr>
          <w:rFonts w:ascii="Times New Roman"/>
          <w:highlight w:val="none"/>
        </w:rPr>
        <w:t>身份鉴别安全要求包括：</w:t>
      </w:r>
    </w:p>
    <w:p>
      <w:pPr>
        <w:pStyle w:val="177"/>
        <w:numPr>
          <w:ilvl w:val="0"/>
          <w:numId w:val="56"/>
        </w:numPr>
        <w:rPr>
          <w:rFonts w:ascii="Times New Roman"/>
          <w:highlight w:val="none"/>
        </w:rPr>
      </w:pPr>
      <w:r>
        <w:rPr>
          <w:rFonts w:ascii="Times New Roman"/>
          <w:highlight w:val="none"/>
        </w:rPr>
        <w:t>应对管理微服务组件的用户进行身份标识和鉴别；</w:t>
      </w:r>
    </w:p>
    <w:p>
      <w:pPr>
        <w:pStyle w:val="177"/>
        <w:rPr>
          <w:rFonts w:ascii="Times New Roman"/>
          <w:highlight w:val="none"/>
        </w:rPr>
      </w:pPr>
      <w:r>
        <w:rPr>
          <w:rFonts w:ascii="Times New Roman"/>
          <w:highlight w:val="none"/>
        </w:rPr>
        <w:t>管理微服务组件的用户身份标识应具有唯一性，口令应有复杂度要求并定期更换；</w:t>
      </w:r>
    </w:p>
    <w:p>
      <w:pPr>
        <w:pStyle w:val="177"/>
        <w:rPr>
          <w:rFonts w:ascii="Times New Roman"/>
          <w:highlight w:val="none"/>
        </w:rPr>
      </w:pPr>
      <w:r>
        <w:rPr>
          <w:rFonts w:ascii="Times New Roman"/>
          <w:highlight w:val="none"/>
        </w:rPr>
        <w:t>应启用登录失败处理功能，可采取结束会话、限制非法登录次数和自动退出等措施；</w:t>
      </w:r>
    </w:p>
    <w:p>
      <w:pPr>
        <w:pStyle w:val="177"/>
        <w:rPr>
          <w:rFonts w:ascii="Times New Roman"/>
          <w:highlight w:val="none"/>
        </w:rPr>
      </w:pPr>
      <w:r>
        <w:rPr>
          <w:rFonts w:ascii="Times New Roman"/>
          <w:highlight w:val="none"/>
        </w:rPr>
        <w:t>应采用安全方式防止用户鉴别认证信息泄露而造成身份冒用；</w:t>
      </w:r>
    </w:p>
    <w:p>
      <w:pPr>
        <w:pStyle w:val="177"/>
        <w:rPr>
          <w:rFonts w:ascii="Times New Roman"/>
          <w:highlight w:val="none"/>
        </w:rPr>
      </w:pPr>
      <w:r>
        <w:rPr>
          <w:rFonts w:ascii="Times New Roman"/>
          <w:highlight w:val="none"/>
        </w:rPr>
        <w:t>应对微服务API接口设置安全的身份鉴别方式。</w:t>
      </w:r>
    </w:p>
    <w:p>
      <w:pPr>
        <w:pStyle w:val="101"/>
        <w:spacing w:before="156" w:after="156"/>
        <w:ind w:left="0"/>
        <w:rPr>
          <w:rFonts w:ascii="Times New Roman"/>
          <w:highlight w:val="none"/>
        </w:rPr>
      </w:pPr>
      <w:r>
        <w:rPr>
          <w:rFonts w:ascii="Times New Roman"/>
          <w:highlight w:val="none"/>
        </w:rPr>
        <w:t>访问控制</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访问控制安全要求包括：</w:t>
      </w:r>
    </w:p>
    <w:p>
      <w:pPr>
        <w:numPr>
          <w:ilvl w:val="0"/>
          <w:numId w:val="5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在微服务组件权限配置能力内，根据用户的业务需要，配置其所需的最小权限；</w:t>
      </w:r>
    </w:p>
    <w:p>
      <w:pPr>
        <w:numPr>
          <w:ilvl w:val="0"/>
          <w:numId w:val="5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对配置文件及重要数据配置最小的访问控制权限。</w:t>
      </w:r>
    </w:p>
    <w:p>
      <w:pPr>
        <w:pStyle w:val="101"/>
        <w:spacing w:before="156" w:after="156"/>
        <w:ind w:left="0"/>
        <w:rPr>
          <w:rFonts w:ascii="Times New Roman"/>
          <w:highlight w:val="none"/>
        </w:rPr>
      </w:pPr>
      <w:r>
        <w:rPr>
          <w:rFonts w:ascii="Times New Roman"/>
          <w:highlight w:val="none"/>
        </w:rPr>
        <w:t>安全审计</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安全审计要求包括：</w:t>
      </w:r>
    </w:p>
    <w:p>
      <w:pPr>
        <w:numPr>
          <w:ilvl w:val="0"/>
          <w:numId w:val="5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审计范围应覆盖到使用微服务组件的每个用户；</w:t>
      </w:r>
    </w:p>
    <w:p>
      <w:pPr>
        <w:numPr>
          <w:ilvl w:val="0"/>
          <w:numId w:val="5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审计内容应包括重要用户行为、微服务组件资源的异常使用和重要操作命令的使用等重要的安全相关事件；</w:t>
      </w:r>
    </w:p>
    <w:p>
      <w:pPr>
        <w:numPr>
          <w:ilvl w:val="0"/>
          <w:numId w:val="5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审计记录应包括事件的日期、时间、类型、主体标识、客体标识和结果等；</w:t>
      </w:r>
    </w:p>
    <w:p>
      <w:pPr>
        <w:numPr>
          <w:ilvl w:val="0"/>
          <w:numId w:val="5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保护审计记录，有效期内避免受到非授权的访问、篡改、覆盖或删除等；</w:t>
      </w:r>
    </w:p>
    <w:p>
      <w:pPr>
        <w:numPr>
          <w:ilvl w:val="0"/>
          <w:numId w:val="5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应支持按用户需求提供与其相关的审计信息及审计分析报告。</w:t>
      </w:r>
    </w:p>
    <w:p>
      <w:pPr>
        <w:pStyle w:val="101"/>
        <w:spacing w:before="156" w:after="156"/>
        <w:ind w:left="0"/>
        <w:rPr>
          <w:rFonts w:ascii="Times New Roman"/>
          <w:highlight w:val="none"/>
        </w:rPr>
      </w:pPr>
      <w:r>
        <w:rPr>
          <w:rFonts w:ascii="Times New Roman"/>
          <w:highlight w:val="none"/>
        </w:rPr>
        <w:t>安全传输</w:t>
      </w:r>
    </w:p>
    <w:p>
      <w:pPr>
        <w:tabs>
          <w:tab w:val="left" w:pos="840"/>
        </w:tabs>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安全传输防护要求包括：</w:t>
      </w:r>
    </w:p>
    <w:p>
      <w:pPr>
        <w:tabs>
          <w:tab w:val="left" w:pos="840"/>
        </w:tabs>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应使用安全的协议保证接口传输数据的保密性和完整性。</w:t>
      </w:r>
    </w:p>
    <w:p>
      <w:pPr>
        <w:pStyle w:val="101"/>
        <w:spacing w:before="156" w:after="156"/>
        <w:ind w:left="0"/>
        <w:rPr>
          <w:rFonts w:ascii="Times New Roman"/>
          <w:highlight w:val="none"/>
        </w:rPr>
      </w:pPr>
      <w:r>
        <w:rPr>
          <w:rFonts w:ascii="Times New Roman"/>
          <w:highlight w:val="none"/>
        </w:rPr>
        <w:t>开放接口</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开放接口安全防护要求包括：</w:t>
      </w:r>
    </w:p>
    <w:p>
      <w:pPr>
        <w:numPr>
          <w:ilvl w:val="0"/>
          <w:numId w:val="5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微服务组件应有与外部组件或应用之间开放接口的安全管控措施，如对接口调用行为进行审计、通过黑/白名单等措施进行访问控制等；</w:t>
      </w:r>
    </w:p>
    <w:p>
      <w:pPr>
        <w:numPr>
          <w:ilvl w:val="0"/>
          <w:numId w:val="5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应对开放接口调用有认证措施；</w:t>
      </w:r>
    </w:p>
    <w:p>
      <w:pPr>
        <w:numPr>
          <w:ilvl w:val="0"/>
          <w:numId w:val="5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应对关键接口的调用情况进行技术监控，如调用频率、调用来源等；</w:t>
      </w:r>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d)  应制定开放接口管理机制和网络安全应急管理制度。</w:t>
      </w:r>
    </w:p>
    <w:p>
      <w:pPr>
        <w:pStyle w:val="97"/>
        <w:spacing w:before="156" w:after="156"/>
        <w:ind w:left="0"/>
        <w:rPr>
          <w:rFonts w:ascii="Times New Roman"/>
          <w:highlight w:val="none"/>
        </w:rPr>
      </w:pPr>
      <w:bookmarkStart w:id="78" w:name="_Toc102984552"/>
      <w:r>
        <w:rPr>
          <w:rFonts w:ascii="Times New Roman"/>
          <w:highlight w:val="none"/>
        </w:rPr>
        <w:t>平台应用开发环境安全防护要求</w:t>
      </w:r>
      <w:bookmarkEnd w:id="78"/>
    </w:p>
    <w:p>
      <w:pPr>
        <w:pStyle w:val="101"/>
        <w:spacing w:before="156" w:after="156"/>
        <w:ind w:left="0"/>
        <w:rPr>
          <w:rFonts w:ascii="Times New Roman"/>
          <w:highlight w:val="none"/>
        </w:rPr>
      </w:pPr>
      <w:r>
        <w:rPr>
          <w:rFonts w:ascii="Times New Roman"/>
          <w:highlight w:val="none"/>
        </w:rPr>
        <w:t>身份鉴别</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身份鉴别安全要求包括：</w:t>
      </w:r>
    </w:p>
    <w:p>
      <w:pPr>
        <w:numPr>
          <w:ilvl w:val="0"/>
          <w:numId w:val="6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对保留用户个人信息或用户服务信息的业务，应对登录用户进行身份标识和鉴别；</w:t>
      </w:r>
    </w:p>
    <w:p>
      <w:pPr>
        <w:numPr>
          <w:ilvl w:val="0"/>
          <w:numId w:val="6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对要求提供登录功能的开发环境，应提供并启用登录失败处理功能，可采取结束会话、限制非法登录次数和自动退出等措施；</w:t>
      </w:r>
    </w:p>
    <w:p>
      <w:pPr>
        <w:numPr>
          <w:ilvl w:val="0"/>
          <w:numId w:val="6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对要求提供登录功能的开发环境，应提供并启用用户身份标识唯一检查功能，保证开发环境中不存在重复用户身份标识；</w:t>
      </w:r>
    </w:p>
    <w:p>
      <w:pPr>
        <w:numPr>
          <w:ilvl w:val="0"/>
          <w:numId w:val="6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应提供并启用用户鉴别信息复杂度检查功能，保证身份鉴别信息不易被冒用；</w:t>
      </w:r>
    </w:p>
    <w:p>
      <w:pPr>
        <w:numPr>
          <w:ilvl w:val="0"/>
          <w:numId w:val="6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应采用加密方式存储用户的账号和口令信息。</w:t>
      </w:r>
    </w:p>
    <w:p>
      <w:pPr>
        <w:pStyle w:val="101"/>
        <w:spacing w:before="156" w:after="156"/>
        <w:ind w:left="0"/>
        <w:rPr>
          <w:rFonts w:ascii="Times New Roman"/>
          <w:highlight w:val="none"/>
        </w:rPr>
      </w:pPr>
      <w:r>
        <w:rPr>
          <w:rFonts w:ascii="Times New Roman"/>
          <w:highlight w:val="none"/>
        </w:rPr>
        <w:t>访问控制</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访问控制安全要求包括：</w:t>
      </w:r>
    </w:p>
    <w:p>
      <w:pPr>
        <w:numPr>
          <w:ilvl w:val="0"/>
          <w:numId w:val="61"/>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应由授权主体配置访问控制策略，并严格限制默认用户的访问权限；</w:t>
      </w:r>
    </w:p>
    <w:p>
      <w:pPr>
        <w:numPr>
          <w:ilvl w:val="0"/>
          <w:numId w:val="61"/>
        </w:numPr>
        <w:adjustRightInd/>
        <w:spacing w:line="240" w:lineRule="auto"/>
        <w:rPr>
          <w:rFonts w:ascii="Times New Roman" w:hAnsi="Times New Roman"/>
          <w:kern w:val="0"/>
          <w:szCs w:val="20"/>
          <w:highlight w:val="none"/>
        </w:rPr>
      </w:pPr>
      <w:r>
        <w:rPr>
          <w:rFonts w:ascii="Times New Roman" w:hAnsi="Times New Roman"/>
          <w:highlight w:val="none"/>
        </w:rPr>
        <w:t>应严格限制各用户的访问权限，按安全策略要求控制用户对业务、数据、网络资源等的访问。</w:t>
      </w:r>
    </w:p>
    <w:p>
      <w:pPr>
        <w:pStyle w:val="101"/>
        <w:spacing w:before="156" w:after="156"/>
        <w:ind w:left="0"/>
        <w:rPr>
          <w:rFonts w:ascii="Times New Roman"/>
          <w:highlight w:val="none"/>
        </w:rPr>
      </w:pPr>
      <w:r>
        <w:rPr>
          <w:rFonts w:ascii="Times New Roman"/>
          <w:highlight w:val="none"/>
        </w:rPr>
        <w:t>安全审计</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安全审计要求包括：</w:t>
      </w:r>
    </w:p>
    <w:p>
      <w:pPr>
        <w:numPr>
          <w:ilvl w:val="0"/>
          <w:numId w:val="6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审计范围应覆盖到每个用户的关键操作；</w:t>
      </w:r>
    </w:p>
    <w:p>
      <w:pPr>
        <w:numPr>
          <w:ilvl w:val="0"/>
          <w:numId w:val="6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审计内容应包括对用户的重要行为、资源使用情况等重要事件；</w:t>
      </w:r>
    </w:p>
    <w:p>
      <w:pPr>
        <w:numPr>
          <w:ilvl w:val="0"/>
          <w:numId w:val="6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应保护审计记录，保证无法删除、修改或覆盖等；</w:t>
      </w:r>
    </w:p>
    <w:p>
      <w:pPr>
        <w:numPr>
          <w:ilvl w:val="0"/>
          <w:numId w:val="6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相关审计记录应包括事件日期、时间、发起者信息、类型、描述和结果等，并且保留一定期限(至少6个月)。</w:t>
      </w:r>
    </w:p>
    <w:p>
      <w:pPr>
        <w:pStyle w:val="101"/>
        <w:spacing w:before="156" w:after="156"/>
        <w:ind w:left="0"/>
        <w:rPr>
          <w:rFonts w:ascii="Times New Roman"/>
          <w:highlight w:val="none"/>
          <w:lang w:val="zh-CN"/>
        </w:rPr>
      </w:pPr>
      <w:r>
        <w:rPr>
          <w:rFonts w:ascii="Times New Roman"/>
          <w:highlight w:val="none"/>
          <w:lang w:val="zh-CN"/>
        </w:rPr>
        <w:t>资源控制</w:t>
      </w:r>
    </w:p>
    <w:p>
      <w:pPr>
        <w:tabs>
          <w:tab w:val="left" w:pos="840"/>
        </w:tabs>
        <w:spacing w:line="240" w:lineRule="auto"/>
        <w:rPr>
          <w:rFonts w:ascii="Times New Roman" w:hAnsi="Times New Roman"/>
          <w:highlight w:val="none"/>
        </w:rPr>
      </w:pPr>
      <w:r>
        <w:rPr>
          <w:rFonts w:ascii="Times New Roman" w:hAnsi="Times New Roman"/>
          <w:highlight w:val="none"/>
        </w:rPr>
        <w:t xml:space="preserve">    </w:t>
      </w:r>
      <w:r>
        <w:rPr>
          <w:rFonts w:ascii="Times New Roman" w:hAnsi="Times New Roman"/>
          <w:kern w:val="0"/>
          <w:szCs w:val="20"/>
          <w:highlight w:val="none"/>
        </w:rPr>
        <w:t>资源控制安全要求包括：</w:t>
      </w:r>
    </w:p>
    <w:p>
      <w:pPr>
        <w:numPr>
          <w:ilvl w:val="0"/>
          <w:numId w:val="63"/>
        </w:numPr>
        <w:spacing w:line="240" w:lineRule="auto"/>
        <w:ind w:left="840" w:hanging="420"/>
        <w:rPr>
          <w:rFonts w:ascii="Times New Roman" w:hAnsi="Times New Roman"/>
          <w:highlight w:val="none"/>
        </w:rPr>
      </w:pPr>
      <w:r>
        <w:rPr>
          <w:rFonts w:ascii="Times New Roman" w:hAnsi="Times New Roman"/>
          <w:kern w:val="0"/>
          <w:szCs w:val="20"/>
          <w:highlight w:val="none"/>
        </w:rPr>
        <w:t>具有登录超时处理功能，当登录连接超时自动退出；</w:t>
      </w:r>
    </w:p>
    <w:p>
      <w:pPr>
        <w:numPr>
          <w:ilvl w:val="0"/>
          <w:numId w:val="63"/>
        </w:numPr>
        <w:spacing w:line="240" w:lineRule="auto"/>
        <w:ind w:left="840" w:hanging="420"/>
        <w:rPr>
          <w:rFonts w:ascii="Times New Roman" w:hAnsi="Times New Roman"/>
          <w:highlight w:val="none"/>
        </w:rPr>
      </w:pPr>
      <w:r>
        <w:rPr>
          <w:rFonts w:ascii="Times New Roman" w:hAnsi="Times New Roman"/>
          <w:highlight w:val="none"/>
        </w:rPr>
        <w:t>应能够对系统的最大并发会话连接数进行限制；</w:t>
      </w:r>
    </w:p>
    <w:p>
      <w:pPr>
        <w:numPr>
          <w:ilvl w:val="0"/>
          <w:numId w:val="63"/>
        </w:numPr>
        <w:spacing w:line="240" w:lineRule="auto"/>
        <w:ind w:left="840" w:hanging="420"/>
        <w:rPr>
          <w:rFonts w:ascii="Times New Roman" w:hAnsi="Times New Roman"/>
          <w:highlight w:val="none"/>
        </w:rPr>
      </w:pPr>
      <w:r>
        <w:rPr>
          <w:rFonts w:ascii="Times New Roman" w:hAnsi="Times New Roman"/>
          <w:highlight w:val="none"/>
        </w:rPr>
        <w:t>应能够对单个账户的多重并发会话进行限制；</w:t>
      </w:r>
    </w:p>
    <w:p>
      <w:pPr>
        <w:numPr>
          <w:ilvl w:val="0"/>
          <w:numId w:val="63"/>
        </w:numPr>
        <w:spacing w:line="240" w:lineRule="auto"/>
        <w:ind w:left="840" w:hanging="420"/>
        <w:rPr>
          <w:rFonts w:ascii="Times New Roman" w:hAnsi="Times New Roman"/>
          <w:highlight w:val="none"/>
        </w:rPr>
      </w:pPr>
      <w:r>
        <w:rPr>
          <w:rFonts w:ascii="Times New Roman" w:hAnsi="Times New Roman"/>
          <w:highlight w:val="none"/>
        </w:rPr>
        <w:t>应能够对系统服务水平降低到预先规定的最小值进行检测和报警。</w:t>
      </w:r>
    </w:p>
    <w:p>
      <w:pPr>
        <w:pStyle w:val="101"/>
        <w:spacing w:before="156" w:after="156"/>
        <w:ind w:left="0"/>
        <w:rPr>
          <w:rFonts w:ascii="Times New Roman"/>
          <w:highlight w:val="none"/>
        </w:rPr>
      </w:pPr>
      <w:r>
        <w:rPr>
          <w:rFonts w:ascii="Times New Roman"/>
          <w:highlight w:val="none"/>
        </w:rPr>
        <w:t>信息保护</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信息保护安全要求：</w:t>
      </w:r>
    </w:p>
    <w:p>
      <w:pPr>
        <w:numPr>
          <w:ilvl w:val="0"/>
          <w:numId w:val="6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开发环境中各功能的提供、控制与管理过程应保护用户隐私，未经用户同意，不能擅自收集、修改、泄漏用户相关敏感信息；</w:t>
      </w:r>
    </w:p>
    <w:p>
      <w:pPr>
        <w:numPr>
          <w:ilvl w:val="0"/>
          <w:numId w:val="6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应保护相关信息的安全，避免相关数据和页面被篡改和破坏；</w:t>
      </w:r>
    </w:p>
    <w:p>
      <w:pPr>
        <w:numPr>
          <w:ilvl w:val="0"/>
          <w:numId w:val="6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应禁止不必要的内嵌网络服务，应禁止在用户端自动安装恶意软件和插件；</w:t>
      </w:r>
    </w:p>
    <w:p>
      <w:pPr>
        <w:numPr>
          <w:ilvl w:val="0"/>
          <w:numId w:val="6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应对通信过程中的敏感信息字段进行加密；</w:t>
      </w:r>
    </w:p>
    <w:p>
      <w:pPr>
        <w:numPr>
          <w:ilvl w:val="0"/>
          <w:numId w:val="6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应对敏感信息(如用户信息、订单信息、应用软件下载路径等)进行加密存储；</w:t>
      </w:r>
    </w:p>
    <w:p>
      <w:pPr>
        <w:numPr>
          <w:ilvl w:val="0"/>
          <w:numId w:val="6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应对开发环境相关功能的关键数据(如业务数据、系统配置数据、管理员操作维护记录、用户信息、业务应用与APP购买、下载信息等)进行必要的容灾备份；</w:t>
      </w:r>
    </w:p>
    <w:p>
      <w:pPr>
        <w:pStyle w:val="240"/>
        <w:numPr>
          <w:ilvl w:val="0"/>
          <w:numId w:val="64"/>
        </w:numPr>
        <w:rPr>
          <w:rFonts w:ascii="Times New Roman" w:hAnsi="Times New Roman" w:cs="Times New Roman"/>
          <w:highlight w:val="none"/>
        </w:rPr>
      </w:pPr>
      <w:r>
        <w:rPr>
          <w:rFonts w:ascii="Times New Roman" w:hAnsi="Times New Roman" w:cs="Times New Roman"/>
          <w:highlight w:val="none"/>
        </w:rPr>
        <w:t>应对平台重要系统配置数据进行加密保护；</w:t>
      </w:r>
    </w:p>
    <w:p>
      <w:pPr>
        <w:numPr>
          <w:ilvl w:val="0"/>
          <w:numId w:val="6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应能对诈骗、虚假广告等信息建立处理机制，防止类似信息的扩散；</w:t>
      </w:r>
    </w:p>
    <w:p>
      <w:pPr>
        <w:numPr>
          <w:ilvl w:val="0"/>
          <w:numId w:val="6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应对源码进行分级和加密，做好监控和安全审计。</w:t>
      </w:r>
    </w:p>
    <w:p>
      <w:pPr>
        <w:pStyle w:val="101"/>
        <w:spacing w:before="156" w:after="156"/>
        <w:ind w:left="0"/>
        <w:rPr>
          <w:rFonts w:ascii="Times New Roman"/>
          <w:highlight w:val="none"/>
        </w:rPr>
      </w:pPr>
      <w:r>
        <w:rPr>
          <w:rFonts w:ascii="Times New Roman"/>
          <w:highlight w:val="none"/>
        </w:rPr>
        <w:t>上线前检测</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上线前检测要求包括：</w:t>
      </w:r>
    </w:p>
    <w:p>
      <w:pPr>
        <w:numPr>
          <w:ilvl w:val="0"/>
          <w:numId w:val="6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开发环境应在业务应用与工业APP上线前对其进行安全审核，以确保其不包含恶意代码、恶意行为等，经过安全审核后才能进行上线处理、正式发布；</w:t>
      </w:r>
    </w:p>
    <w:p>
      <w:pPr>
        <w:numPr>
          <w:ilvl w:val="0"/>
          <w:numId w:val="6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开发环境可提供用户数据同步功能，但开发环境同步的用户数据不应保存在位于境外的服务器上；</w:t>
      </w:r>
    </w:p>
    <w:p>
      <w:pPr>
        <w:numPr>
          <w:ilvl w:val="0"/>
          <w:numId w:val="6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开发环境应支持对工业APP的移动代码签名机制，对APP检测审核后，对APP进行数字签名；移动终端在下载安装APP之前，对经过签名的APP进行签名验证，只有通过签名验证的APP才能被认为是可信的，继而被安装到终端上；</w:t>
      </w:r>
    </w:p>
    <w:p>
      <w:pPr>
        <w:numPr>
          <w:ilvl w:val="0"/>
          <w:numId w:val="6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开发环境应要求开发者在提交业务应用与工业APP时声明其调用的API，并对业务应用与工业APP调用终端API的行为进行检测；</w:t>
      </w:r>
    </w:p>
    <w:p>
      <w:pPr>
        <w:numPr>
          <w:ilvl w:val="0"/>
          <w:numId w:val="6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业务应用与工业APP不应调用与其业务功能无关的API以及在其声明范围之外的API；</w:t>
      </w:r>
    </w:p>
    <w:p>
      <w:pPr>
        <w:numPr>
          <w:ilvl w:val="0"/>
          <w:numId w:val="6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对使用的第三方组件库进行漏洞隐患排查。</w:t>
      </w:r>
    </w:p>
    <w:p>
      <w:pPr>
        <w:pStyle w:val="97"/>
        <w:spacing w:before="156" w:after="156"/>
        <w:ind w:left="0"/>
        <w:rPr>
          <w:rFonts w:ascii="Times New Roman"/>
          <w:highlight w:val="none"/>
        </w:rPr>
      </w:pPr>
      <w:bookmarkStart w:id="79" w:name="_Toc102984553"/>
      <w:r>
        <w:rPr>
          <w:rFonts w:ascii="Times New Roman"/>
          <w:highlight w:val="none"/>
        </w:rPr>
        <w:t>容器安全防护要求</w:t>
      </w:r>
      <w:bookmarkEnd w:id="79"/>
    </w:p>
    <w:p>
      <w:pPr>
        <w:pStyle w:val="101"/>
        <w:spacing w:before="156" w:after="156"/>
        <w:ind w:left="0"/>
        <w:rPr>
          <w:rFonts w:ascii="Times New Roman"/>
          <w:highlight w:val="none"/>
        </w:rPr>
      </w:pPr>
      <w:r>
        <w:rPr>
          <w:rFonts w:ascii="Times New Roman"/>
          <w:highlight w:val="none"/>
        </w:rPr>
        <w:t>构建安全</w:t>
      </w:r>
    </w:p>
    <w:p>
      <w:pPr>
        <w:tabs>
          <w:tab w:val="left" w:pos="845"/>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容器构建安全防护要求包括：</w:t>
      </w:r>
    </w:p>
    <w:p>
      <w:pPr>
        <w:numPr>
          <w:ilvl w:val="0"/>
          <w:numId w:val="6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应仅授予完成必要工作所需的最低权限，不安装没有必要的软件；</w:t>
      </w:r>
    </w:p>
    <w:p>
      <w:pPr>
        <w:numPr>
          <w:ilvl w:val="0"/>
          <w:numId w:val="6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使用第三方跟镜像，应考虑来源及其可信度、更新频率、默认安装的软件；</w:t>
      </w:r>
    </w:p>
    <w:p>
      <w:pPr>
        <w:numPr>
          <w:ilvl w:val="0"/>
          <w:numId w:val="6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切勿将任何硬编码</w:t>
      </w:r>
      <w:r>
        <w:rPr>
          <w:rFonts w:hint="eastAsia" w:ascii="Times New Roman" w:hAnsi="Times New Roman"/>
          <w:kern w:val="0"/>
          <w:szCs w:val="20"/>
          <w:highlight w:val="none"/>
        </w:rPr>
        <w:t>密</w:t>
      </w:r>
      <w:r>
        <w:rPr>
          <w:rFonts w:ascii="Times New Roman" w:hAnsi="Times New Roman"/>
          <w:kern w:val="0"/>
          <w:szCs w:val="20"/>
          <w:highlight w:val="none"/>
        </w:rPr>
        <w:t>钥嵌入容器，应使用Kubernetes或其他密钥管理系统；</w:t>
      </w:r>
    </w:p>
    <w:p>
      <w:pPr>
        <w:numPr>
          <w:ilvl w:val="0"/>
          <w:numId w:val="6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应将镜像限制为二进制文件、库、配置文件，避免安装软件包管理器、Unix Shell、编译器和调试器。</w:t>
      </w:r>
    </w:p>
    <w:p>
      <w:pPr>
        <w:pStyle w:val="101"/>
        <w:spacing w:before="156" w:after="156"/>
        <w:ind w:left="0"/>
        <w:rPr>
          <w:rFonts w:ascii="Times New Roman"/>
          <w:highlight w:val="none"/>
        </w:rPr>
      </w:pPr>
      <w:r>
        <w:rPr>
          <w:rFonts w:ascii="Times New Roman"/>
          <w:highlight w:val="none"/>
        </w:rPr>
        <w:t>分发安全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容器分发安全防护要求包括：</w:t>
      </w:r>
    </w:p>
    <w:p>
      <w:pPr>
        <w:numPr>
          <w:ilvl w:val="0"/>
          <w:numId w:val="6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应对镜像添加不可变标签，防止对不同版本的镜像重复使用；</w:t>
      </w:r>
    </w:p>
    <w:p>
      <w:pPr>
        <w:numPr>
          <w:ilvl w:val="0"/>
          <w:numId w:val="67"/>
        </w:numPr>
        <w:adjustRightInd/>
        <w:spacing w:line="240" w:lineRule="auto"/>
        <w:rPr>
          <w:rFonts w:ascii="Times New Roman" w:hAnsi="Times New Roman"/>
          <w:kern w:val="0"/>
          <w:szCs w:val="20"/>
          <w:highlight w:val="none"/>
        </w:rPr>
      </w:pPr>
      <w:r>
        <w:rPr>
          <w:rFonts w:ascii="Times New Roman" w:hAnsi="Times New Roman"/>
          <w:highlight w:val="none"/>
        </w:rPr>
        <w:t>应通过镜像签名增强安全防护；</w:t>
      </w:r>
    </w:p>
    <w:p>
      <w:pPr>
        <w:pStyle w:val="101"/>
        <w:spacing w:before="156" w:after="156"/>
        <w:ind w:left="0"/>
        <w:rPr>
          <w:rFonts w:ascii="Times New Roman"/>
          <w:highlight w:val="none"/>
        </w:rPr>
      </w:pPr>
      <w:r>
        <w:rPr>
          <w:rFonts w:ascii="Times New Roman"/>
          <w:highlight w:val="none"/>
        </w:rPr>
        <w:t>运行安全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容器运行安全防护要求包括：</w:t>
      </w:r>
    </w:p>
    <w:p>
      <w:pPr>
        <w:numPr>
          <w:ilvl w:val="0"/>
          <w:numId w:val="6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应使用自定义或第三方访问控制器来避免部署不安全的容器镜像；</w:t>
      </w:r>
    </w:p>
    <w:p>
      <w:pPr>
        <w:numPr>
          <w:ilvl w:val="0"/>
          <w:numId w:val="6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应尽量避免以root等最高权限运行容器，禁止使用特权容器；</w:t>
      </w:r>
    </w:p>
    <w:p>
      <w:pPr>
        <w:numPr>
          <w:ilvl w:val="0"/>
          <w:numId w:val="6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应确保主机设备不直接共享给容器；</w:t>
      </w:r>
    </w:p>
    <w:p>
      <w:pPr>
        <w:numPr>
          <w:ilvl w:val="0"/>
          <w:numId w:val="6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应确保容器的内存使用合理、正确设置容器上的</w:t>
      </w:r>
      <w:r>
        <w:rPr>
          <w:rFonts w:hint="eastAsia" w:ascii="Times New Roman" w:hAnsi="Times New Roman"/>
          <w:kern w:val="0"/>
          <w:szCs w:val="20"/>
          <w:highlight w:val="none"/>
        </w:rPr>
        <w:t>CPU</w:t>
      </w:r>
      <w:r>
        <w:rPr>
          <w:rFonts w:ascii="Times New Roman" w:hAnsi="Times New Roman"/>
          <w:kern w:val="0"/>
          <w:szCs w:val="20"/>
          <w:highlight w:val="none"/>
        </w:rPr>
        <w:t>优先级；</w:t>
      </w:r>
    </w:p>
    <w:p>
      <w:pPr>
        <w:pStyle w:val="101"/>
        <w:spacing w:before="156" w:after="156"/>
        <w:ind w:left="0"/>
        <w:rPr>
          <w:rFonts w:ascii="Times New Roman"/>
          <w:highlight w:val="none"/>
          <w:lang w:val="zh-CN"/>
        </w:rPr>
      </w:pPr>
      <w:r>
        <w:rPr>
          <w:rFonts w:ascii="Times New Roman"/>
          <w:highlight w:val="none"/>
          <w:lang w:val="zh-CN"/>
        </w:rPr>
        <w:t>维护安全</w:t>
      </w:r>
    </w:p>
    <w:p>
      <w:pPr>
        <w:tabs>
          <w:tab w:val="left" w:pos="840"/>
        </w:tabs>
        <w:spacing w:line="240" w:lineRule="auto"/>
        <w:ind w:left="424" w:leftChars="200" w:hanging="4" w:hangingChars="2"/>
        <w:rPr>
          <w:rFonts w:ascii="Times New Roman" w:hAnsi="Times New Roman"/>
          <w:highlight w:val="none"/>
        </w:rPr>
      </w:pPr>
      <w:r>
        <w:rPr>
          <w:rFonts w:ascii="Times New Roman" w:hAnsi="Times New Roman"/>
          <w:highlight w:val="none"/>
        </w:rPr>
        <w:t>容器维护安全防护要求包括：</w:t>
      </w:r>
    </w:p>
    <w:p>
      <w:pPr>
        <w:tabs>
          <w:tab w:val="left" w:pos="840"/>
        </w:tabs>
        <w:spacing w:line="240" w:lineRule="auto"/>
        <w:ind w:left="424" w:leftChars="200" w:hanging="4" w:hangingChars="2"/>
        <w:rPr>
          <w:rFonts w:hint="eastAsia" w:ascii="Times New Roman" w:hAnsi="Times New Roman"/>
          <w:highlight w:val="none"/>
        </w:rPr>
      </w:pPr>
      <w:r>
        <w:rPr>
          <w:rFonts w:ascii="Times New Roman" w:hAnsi="Times New Roman"/>
          <w:highlight w:val="none"/>
        </w:rPr>
        <w:t>应定期对容器进行漏洞扫描，</w:t>
      </w:r>
      <w:r>
        <w:rPr>
          <w:rFonts w:ascii="Times New Roman" w:hAnsi="Times New Roman"/>
          <w:kern w:val="0"/>
          <w:szCs w:val="20"/>
          <w:highlight w:val="none"/>
        </w:rPr>
        <w:t>根据漏洞严重性、数量、是否有可用的补丁或修补程序、是否影响部署等因素确定漏洞管理标准</w:t>
      </w:r>
      <w:r>
        <w:rPr>
          <w:rFonts w:hint="eastAsia" w:ascii="Times New Roman" w:hAnsi="Times New Roman"/>
          <w:highlight w:val="none"/>
        </w:rPr>
        <w:t>。</w:t>
      </w:r>
    </w:p>
    <w:p>
      <w:pPr>
        <w:pStyle w:val="68"/>
        <w:spacing w:before="156" w:after="156"/>
        <w:rPr>
          <w:rFonts w:ascii="Times New Roman"/>
          <w:highlight w:val="none"/>
        </w:rPr>
      </w:pPr>
      <w:bookmarkStart w:id="80" w:name="_Toc102984554"/>
      <w:bookmarkStart w:id="81" w:name="_Toc102992490"/>
      <w:r>
        <w:rPr>
          <w:rFonts w:ascii="Times New Roman"/>
          <w:highlight w:val="none"/>
        </w:rPr>
        <w:t>应用层安全防护要求</w:t>
      </w:r>
      <w:bookmarkEnd w:id="80"/>
      <w:bookmarkEnd w:id="81"/>
    </w:p>
    <w:p>
      <w:pPr>
        <w:pStyle w:val="97"/>
        <w:spacing w:before="156" w:after="156"/>
        <w:ind w:left="0"/>
        <w:rPr>
          <w:rFonts w:ascii="Times New Roman"/>
          <w:highlight w:val="none"/>
        </w:rPr>
      </w:pPr>
      <w:bookmarkStart w:id="82" w:name="_Toc102984555"/>
      <w:r>
        <w:rPr>
          <w:rFonts w:ascii="Times New Roman"/>
          <w:highlight w:val="none"/>
        </w:rPr>
        <w:t>身份鉴别</w:t>
      </w:r>
      <w:bookmarkEnd w:id="82"/>
    </w:p>
    <w:p>
      <w:pPr>
        <w:widowControl/>
        <w:tabs>
          <w:tab w:val="left" w:pos="851"/>
        </w:tabs>
        <w:adjustRightInd/>
        <w:spacing w:line="240" w:lineRule="auto"/>
        <w:rPr>
          <w:rFonts w:ascii="Times New Roman" w:hAnsi="Times New Roman"/>
          <w:kern w:val="0"/>
          <w:szCs w:val="20"/>
          <w:highlight w:val="none"/>
        </w:rPr>
      </w:pPr>
      <w:bookmarkStart w:id="83" w:name="_Hlk99713819"/>
      <w:r>
        <w:rPr>
          <w:rFonts w:ascii="Times New Roman" w:hAnsi="Times New Roman"/>
          <w:kern w:val="0"/>
          <w:szCs w:val="20"/>
          <w:highlight w:val="none"/>
        </w:rPr>
        <w:t xml:space="preserve">    </w:t>
      </w:r>
      <w:r>
        <w:rPr>
          <w:rFonts w:ascii="Times New Roman" w:hAnsi="Times New Roman"/>
          <w:highlight w:val="none"/>
        </w:rPr>
        <w:t>身份鉴别安全要求包括：</w:t>
      </w:r>
    </w:p>
    <w:p>
      <w:pPr>
        <w:widowControl/>
        <w:numPr>
          <w:ilvl w:val="0"/>
          <w:numId w:val="69"/>
        </w:numPr>
        <w:tabs>
          <w:tab w:val="left" w:pos="851"/>
        </w:tabs>
        <w:adjustRightInd/>
        <w:spacing w:line="240" w:lineRule="auto"/>
        <w:rPr>
          <w:rFonts w:ascii="Times New Roman" w:hAnsi="Times New Roman"/>
          <w:kern w:val="0"/>
          <w:szCs w:val="20"/>
          <w:highlight w:val="none"/>
        </w:rPr>
      </w:pPr>
      <w:r>
        <w:rPr>
          <w:rFonts w:ascii="Times New Roman" w:hAnsi="Times New Roman"/>
          <w:kern w:val="0"/>
          <w:szCs w:val="20"/>
          <w:highlight w:val="none"/>
        </w:rPr>
        <w:t>工业APP应提供专用的登录控制模块对登录用户进行身份标识和鉴别，用户身份标识唯一， 登录</w:t>
      </w:r>
      <w:bookmarkEnd w:id="83"/>
      <w:r>
        <w:rPr>
          <w:rFonts w:ascii="Times New Roman" w:hAnsi="Times New Roman"/>
          <w:kern w:val="0"/>
          <w:szCs w:val="20"/>
          <w:highlight w:val="none"/>
        </w:rPr>
        <w:t>控制模块具有鉴别信息长度、复杂度检查、登录失败处理功能；</w:t>
      </w:r>
    </w:p>
    <w:p>
      <w:pPr>
        <w:widowControl/>
        <w:numPr>
          <w:ilvl w:val="0"/>
          <w:numId w:val="69"/>
        </w:numPr>
        <w:tabs>
          <w:tab w:val="left" w:pos="851"/>
        </w:tabs>
        <w:adjustRightInd/>
        <w:spacing w:line="240" w:lineRule="auto"/>
        <w:rPr>
          <w:rFonts w:ascii="Times New Roman" w:hAnsi="Times New Roman"/>
          <w:kern w:val="0"/>
          <w:szCs w:val="20"/>
          <w:highlight w:val="none"/>
        </w:rPr>
      </w:pPr>
      <w:r>
        <w:rPr>
          <w:rFonts w:ascii="Times New Roman" w:hAnsi="Times New Roman"/>
          <w:kern w:val="0"/>
          <w:szCs w:val="20"/>
          <w:highlight w:val="none"/>
        </w:rPr>
        <w:t>应具备登录超时后的锁定或注销功能。</w:t>
      </w:r>
    </w:p>
    <w:p>
      <w:pPr>
        <w:pStyle w:val="97"/>
        <w:spacing w:before="156" w:after="156"/>
        <w:ind w:left="0"/>
        <w:rPr>
          <w:rFonts w:ascii="Times New Roman"/>
          <w:highlight w:val="none"/>
        </w:rPr>
      </w:pPr>
      <w:bookmarkStart w:id="84" w:name="_Toc102984556"/>
      <w:r>
        <w:rPr>
          <w:rFonts w:ascii="Times New Roman"/>
          <w:highlight w:val="none"/>
        </w:rPr>
        <w:t>口令安全机制</w:t>
      </w:r>
      <w:bookmarkEnd w:id="84"/>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若工业APP使用过程中涉及用户口令，则具体技术要求如下：</w:t>
      </w:r>
    </w:p>
    <w:p>
      <w:pPr>
        <w:pStyle w:val="177"/>
        <w:numPr>
          <w:ilvl w:val="0"/>
          <w:numId w:val="70"/>
        </w:numPr>
        <w:rPr>
          <w:rFonts w:ascii="Times New Roman"/>
          <w:highlight w:val="none"/>
        </w:rPr>
      </w:pPr>
      <w:r>
        <w:rPr>
          <w:rFonts w:ascii="Times New Roman"/>
          <w:highlight w:val="none"/>
        </w:rPr>
        <w:t>在使用过程中不应以明文形式显示和存储；</w:t>
      </w:r>
    </w:p>
    <w:p>
      <w:pPr>
        <w:widowControl/>
        <w:numPr>
          <w:ilvl w:val="0"/>
          <w:numId w:val="69"/>
        </w:numPr>
        <w:tabs>
          <w:tab w:val="left" w:pos="851"/>
        </w:tabs>
        <w:adjustRightInd/>
        <w:spacing w:line="240" w:lineRule="auto"/>
        <w:rPr>
          <w:rFonts w:ascii="Times New Roman" w:hAnsi="Times New Roman"/>
          <w:kern w:val="0"/>
          <w:szCs w:val="20"/>
          <w:highlight w:val="none"/>
        </w:rPr>
      </w:pPr>
      <w:r>
        <w:rPr>
          <w:rFonts w:ascii="Times New Roman" w:hAnsi="Times New Roman"/>
          <w:kern w:val="0"/>
          <w:szCs w:val="20"/>
          <w:highlight w:val="none"/>
        </w:rPr>
        <w:t>修改或找回口令时，应具备验证机制，如短信验证、邮箱验证等。</w:t>
      </w:r>
    </w:p>
    <w:p>
      <w:pPr>
        <w:pStyle w:val="97"/>
        <w:spacing w:before="156" w:after="156"/>
        <w:ind w:left="0"/>
        <w:rPr>
          <w:rFonts w:ascii="Times New Roman"/>
          <w:highlight w:val="none"/>
        </w:rPr>
      </w:pPr>
      <w:bookmarkStart w:id="85" w:name="_Toc102984557"/>
      <w:r>
        <w:rPr>
          <w:rFonts w:ascii="Times New Roman"/>
          <w:highlight w:val="none"/>
        </w:rPr>
        <w:t>访问控制</w:t>
      </w:r>
      <w:bookmarkEnd w:id="85"/>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若工业APP涉及用户敏感数据，则应对访问用户提供有效的授权机制，具体技术要求如下：</w:t>
      </w:r>
    </w:p>
    <w:p>
      <w:pPr>
        <w:numPr>
          <w:ilvl w:val="0"/>
          <w:numId w:val="71"/>
        </w:numPr>
        <w:adjustRightInd/>
        <w:spacing w:line="240" w:lineRule="auto"/>
        <w:rPr>
          <w:rFonts w:ascii="Times New Roman" w:hAnsi="Times New Roman"/>
          <w:b/>
          <w:bCs/>
          <w:kern w:val="0"/>
          <w:szCs w:val="20"/>
          <w:highlight w:val="none"/>
        </w:rPr>
      </w:pPr>
      <w:r>
        <w:rPr>
          <w:rFonts w:ascii="Times New Roman" w:hAnsi="Times New Roman"/>
          <w:kern w:val="0"/>
          <w:szCs w:val="20"/>
          <w:highlight w:val="none"/>
        </w:rPr>
        <w:t>用户访问的内容不应超出授权的范围；</w:t>
      </w:r>
    </w:p>
    <w:p>
      <w:pPr>
        <w:numPr>
          <w:ilvl w:val="0"/>
          <w:numId w:val="71"/>
        </w:numPr>
        <w:adjustRightInd/>
        <w:spacing w:line="240" w:lineRule="auto"/>
        <w:rPr>
          <w:rFonts w:ascii="Times New Roman" w:hAnsi="Times New Roman"/>
          <w:b/>
          <w:bCs/>
          <w:kern w:val="0"/>
          <w:szCs w:val="20"/>
          <w:highlight w:val="none"/>
        </w:rPr>
      </w:pPr>
      <w:r>
        <w:rPr>
          <w:rFonts w:ascii="Times New Roman" w:hAnsi="Times New Roman"/>
          <w:kern w:val="0"/>
          <w:szCs w:val="20"/>
          <w:highlight w:val="none"/>
        </w:rPr>
        <w:t>应限制工业APP用户账号的多重并发会话。</w:t>
      </w:r>
    </w:p>
    <w:p>
      <w:pPr>
        <w:pStyle w:val="97"/>
        <w:spacing w:before="156" w:after="156"/>
        <w:ind w:left="0"/>
        <w:rPr>
          <w:rFonts w:ascii="Times New Roman"/>
          <w:highlight w:val="none"/>
        </w:rPr>
      </w:pPr>
      <w:bookmarkStart w:id="86" w:name="_Toc102984558"/>
      <w:r>
        <w:rPr>
          <w:rFonts w:ascii="Times New Roman"/>
          <w:highlight w:val="none"/>
        </w:rPr>
        <w:t>安全审计</w:t>
      </w:r>
      <w:bookmarkEnd w:id="86"/>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安全审计要求包括：</w:t>
      </w:r>
    </w:p>
    <w:p>
      <w:pPr>
        <w:numPr>
          <w:ilvl w:val="0"/>
          <w:numId w:val="7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审计范围应覆盖到用户在业务应用中的关键操作、重要行为、业务资源使用情况等重要事件；</w:t>
      </w:r>
    </w:p>
    <w:p>
      <w:pPr>
        <w:numPr>
          <w:ilvl w:val="0"/>
          <w:numId w:val="7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应对审计记录进行保护，有效期内避免受到非授权的访问、篡改、覆盖或删除等；</w:t>
      </w:r>
    </w:p>
    <w:p>
      <w:pPr>
        <w:numPr>
          <w:ilvl w:val="0"/>
          <w:numId w:val="7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应定期针对审计日志进行人工审计；</w:t>
      </w:r>
    </w:p>
    <w:p>
      <w:pPr>
        <w:numPr>
          <w:ilvl w:val="0"/>
          <w:numId w:val="7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应支持按用户需求提供与其相关的审计信息及审计分析报告。</w:t>
      </w:r>
    </w:p>
    <w:p>
      <w:pPr>
        <w:pStyle w:val="97"/>
        <w:spacing w:before="156" w:after="156"/>
        <w:ind w:left="0"/>
        <w:rPr>
          <w:rFonts w:ascii="Times New Roman"/>
          <w:highlight w:val="none"/>
        </w:rPr>
      </w:pPr>
      <w:bookmarkStart w:id="87" w:name="_Toc102984559"/>
      <w:r>
        <w:rPr>
          <w:rFonts w:ascii="Times New Roman"/>
          <w:highlight w:val="none"/>
        </w:rPr>
        <w:t>运行安全</w:t>
      </w:r>
      <w:bookmarkEnd w:id="87"/>
    </w:p>
    <w:p>
      <w:pPr>
        <w:widowControl/>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运行安全防护要求包括：</w:t>
      </w:r>
    </w:p>
    <w:p>
      <w:pPr>
        <w:widowControl/>
        <w:numPr>
          <w:ilvl w:val="0"/>
          <w:numId w:val="7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不应设计有违反或绕过安全规则的任何类型的入口和文档中未说明的任何模式的入口；</w:t>
      </w:r>
    </w:p>
    <w:p>
      <w:pPr>
        <w:widowControl/>
        <w:numPr>
          <w:ilvl w:val="0"/>
          <w:numId w:val="7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应具备安全机制防止程序被反编译、反调试；</w:t>
      </w:r>
    </w:p>
    <w:p>
      <w:pPr>
        <w:widowControl/>
        <w:numPr>
          <w:ilvl w:val="0"/>
          <w:numId w:val="7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宜确保不存在漏洞发布平台/机构（例如CNVD、CNNVD、CVE、CNCVE）公开发布了6个月及以上的</w:t>
      </w:r>
      <w:r>
        <w:rPr>
          <w:rFonts w:hint="eastAsia" w:ascii="Times New Roman" w:hAnsi="Times New Roman"/>
          <w:kern w:val="0"/>
          <w:szCs w:val="20"/>
          <w:highlight w:val="none"/>
        </w:rPr>
        <w:t>中</w:t>
      </w:r>
      <w:r>
        <w:rPr>
          <w:rFonts w:ascii="Times New Roman" w:hAnsi="Times New Roman"/>
          <w:kern w:val="0"/>
          <w:szCs w:val="20"/>
          <w:highlight w:val="none"/>
        </w:rPr>
        <w:t>高危</w:t>
      </w:r>
      <w:r>
        <w:rPr>
          <w:rFonts w:hint="eastAsia" w:ascii="Times New Roman" w:hAnsi="Times New Roman"/>
          <w:kern w:val="0"/>
          <w:szCs w:val="20"/>
          <w:highlight w:val="none"/>
        </w:rPr>
        <w:t>及以上的</w:t>
      </w:r>
      <w:r>
        <w:rPr>
          <w:rFonts w:ascii="Times New Roman" w:hAnsi="Times New Roman"/>
          <w:kern w:val="0"/>
          <w:szCs w:val="20"/>
          <w:highlight w:val="none"/>
        </w:rPr>
        <w:t>安全漏洞。</w:t>
      </w:r>
    </w:p>
    <w:p>
      <w:pPr>
        <w:pStyle w:val="97"/>
        <w:spacing w:before="156" w:after="156"/>
        <w:ind w:left="0"/>
        <w:rPr>
          <w:rFonts w:ascii="Times New Roman"/>
          <w:highlight w:val="none"/>
        </w:rPr>
      </w:pPr>
      <w:bookmarkStart w:id="88" w:name="_Toc102984560"/>
      <w:r>
        <w:rPr>
          <w:rFonts w:ascii="Times New Roman"/>
          <w:highlight w:val="none"/>
        </w:rPr>
        <w:t>安装与卸载</w:t>
      </w:r>
      <w:bookmarkEnd w:id="88"/>
      <w:r>
        <w:rPr>
          <w:rFonts w:ascii="Times New Roman"/>
          <w:highlight w:val="none"/>
        </w:rPr>
        <w:t>安全</w:t>
      </w:r>
    </w:p>
    <w:p>
      <w:pPr>
        <w:pStyle w:val="101"/>
        <w:spacing w:before="156" w:after="156"/>
        <w:ind w:left="0"/>
        <w:rPr>
          <w:rFonts w:ascii="Times New Roman"/>
          <w:highlight w:val="none"/>
        </w:rPr>
      </w:pPr>
      <w:r>
        <w:rPr>
          <w:rFonts w:ascii="Times New Roman"/>
          <w:highlight w:val="none"/>
        </w:rPr>
        <w:t>安装安全</w:t>
      </w:r>
    </w:p>
    <w:p>
      <w:pPr>
        <w:pStyle w:val="177"/>
        <w:numPr>
          <w:ilvl w:val="0"/>
          <w:numId w:val="0"/>
        </w:numPr>
        <w:ind w:left="851" w:hanging="426"/>
        <w:rPr>
          <w:rFonts w:ascii="Times New Roman"/>
          <w:highlight w:val="none"/>
        </w:rPr>
      </w:pPr>
      <w:r>
        <w:rPr>
          <w:rFonts w:ascii="Times New Roman"/>
          <w:highlight w:val="none"/>
        </w:rPr>
        <w:t>安装安全防护要求包括：</w:t>
      </w:r>
    </w:p>
    <w:p>
      <w:pPr>
        <w:pStyle w:val="177"/>
        <w:numPr>
          <w:ilvl w:val="0"/>
          <w:numId w:val="74"/>
        </w:numPr>
        <w:rPr>
          <w:rFonts w:ascii="Times New Roman"/>
          <w:highlight w:val="none"/>
        </w:rPr>
      </w:pPr>
      <w:r>
        <w:rPr>
          <w:rFonts w:ascii="Times New Roman"/>
          <w:highlight w:val="none"/>
        </w:rPr>
        <w:t>应包含可有效表征供应者或开发者身份的签名信息、软件属性信息；</w:t>
      </w:r>
    </w:p>
    <w:p>
      <w:pPr>
        <w:pStyle w:val="177"/>
        <w:numPr>
          <w:ilvl w:val="0"/>
          <w:numId w:val="74"/>
        </w:numPr>
        <w:rPr>
          <w:rFonts w:ascii="Times New Roman"/>
          <w:highlight w:val="none"/>
        </w:rPr>
      </w:pPr>
      <w:r>
        <w:rPr>
          <w:rFonts w:ascii="Times New Roman"/>
          <w:highlight w:val="none"/>
        </w:rPr>
        <w:t>安装时应提示终端操作系统用户对其使用的终端资源 和终端数据进行确认；</w:t>
      </w:r>
    </w:p>
    <w:p>
      <w:pPr>
        <w:pStyle w:val="177"/>
        <w:numPr>
          <w:ilvl w:val="0"/>
          <w:numId w:val="74"/>
        </w:numPr>
        <w:rPr>
          <w:rFonts w:ascii="Times New Roman"/>
          <w:highlight w:val="none"/>
        </w:rPr>
      </w:pPr>
      <w:r>
        <w:rPr>
          <w:rFonts w:ascii="Times New Roman"/>
          <w:highlight w:val="none"/>
        </w:rPr>
        <w:t>宜对平台操作系统和其他应用软件的正常运行无影响。</w:t>
      </w:r>
    </w:p>
    <w:p>
      <w:pPr>
        <w:pStyle w:val="101"/>
        <w:spacing w:before="156" w:after="156"/>
        <w:ind w:left="0"/>
        <w:rPr>
          <w:rFonts w:ascii="Times New Roman"/>
          <w:highlight w:val="none"/>
        </w:rPr>
      </w:pPr>
      <w:r>
        <w:rPr>
          <w:rFonts w:ascii="Times New Roman"/>
          <w:highlight w:val="none"/>
        </w:rPr>
        <w:t>卸载安全</w:t>
      </w:r>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卸载安全防护要求包括：</w:t>
      </w:r>
    </w:p>
    <w:p>
      <w:pPr>
        <w:pStyle w:val="177"/>
        <w:numPr>
          <w:ilvl w:val="0"/>
          <w:numId w:val="75"/>
        </w:numPr>
        <w:tabs>
          <w:tab w:val="clear" w:pos="851"/>
        </w:tabs>
        <w:rPr>
          <w:rFonts w:ascii="Times New Roman"/>
          <w:highlight w:val="none"/>
        </w:rPr>
      </w:pPr>
      <w:r>
        <w:rPr>
          <w:rFonts w:ascii="Times New Roman"/>
          <w:highlight w:val="none"/>
        </w:rPr>
        <w:t>工业APP卸载后，不应影响工业互联网平台的正常使用；</w:t>
      </w:r>
    </w:p>
    <w:p>
      <w:pPr>
        <w:pStyle w:val="177"/>
        <w:numPr>
          <w:ilvl w:val="0"/>
          <w:numId w:val="75"/>
        </w:numPr>
        <w:tabs>
          <w:tab w:val="clear" w:pos="851"/>
        </w:tabs>
        <w:rPr>
          <w:rFonts w:ascii="Times New Roman"/>
          <w:highlight w:val="none"/>
        </w:rPr>
      </w:pPr>
      <w:r>
        <w:rPr>
          <w:rFonts w:ascii="Times New Roman"/>
          <w:highlight w:val="none"/>
        </w:rPr>
        <w:t>应能删除安装和使用过程中产生的资源文件、配置文件和用户数据；</w:t>
      </w:r>
    </w:p>
    <w:p>
      <w:pPr>
        <w:pStyle w:val="177"/>
        <w:numPr>
          <w:ilvl w:val="0"/>
          <w:numId w:val="75"/>
        </w:numPr>
        <w:tabs>
          <w:tab w:val="clear" w:pos="851"/>
        </w:tabs>
        <w:rPr>
          <w:rFonts w:ascii="Times New Roman"/>
          <w:highlight w:val="none"/>
        </w:rPr>
      </w:pPr>
      <w:r>
        <w:rPr>
          <w:rFonts w:ascii="Times New Roman"/>
          <w:highlight w:val="none"/>
        </w:rPr>
        <w:t>删除用户使用过程中生成的数据时应有提示；</w:t>
      </w:r>
    </w:p>
    <w:p>
      <w:pPr>
        <w:pStyle w:val="177"/>
        <w:numPr>
          <w:ilvl w:val="0"/>
          <w:numId w:val="75"/>
        </w:numPr>
        <w:tabs>
          <w:tab w:val="clear" w:pos="851"/>
        </w:tabs>
        <w:rPr>
          <w:rFonts w:ascii="Times New Roman"/>
          <w:highlight w:val="none"/>
        </w:rPr>
      </w:pPr>
      <w:r>
        <w:rPr>
          <w:rFonts w:ascii="Times New Roman"/>
          <w:highlight w:val="none"/>
        </w:rPr>
        <w:t>应对工业互联网平台系统和其他应用软件的功能无影响。</w:t>
      </w:r>
    </w:p>
    <w:p>
      <w:pPr>
        <w:pStyle w:val="97"/>
        <w:spacing w:before="156" w:after="156"/>
        <w:ind w:left="0"/>
        <w:rPr>
          <w:rFonts w:ascii="Times New Roman"/>
          <w:highlight w:val="none"/>
        </w:rPr>
      </w:pPr>
      <w:bookmarkStart w:id="89" w:name="_Toc102984561"/>
      <w:r>
        <w:rPr>
          <w:rFonts w:ascii="Times New Roman"/>
          <w:highlight w:val="none"/>
        </w:rPr>
        <w:t>其他安全</w:t>
      </w:r>
      <w:bookmarkEnd w:id="89"/>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其他</w:t>
      </w:r>
      <w:r>
        <w:rPr>
          <w:rFonts w:ascii="Times New Roman" w:hAnsi="Times New Roman"/>
          <w:kern w:val="0"/>
          <w:szCs w:val="20"/>
          <w:highlight w:val="none"/>
        </w:rPr>
        <w:t>安全</w:t>
      </w:r>
      <w:r>
        <w:rPr>
          <w:rFonts w:ascii="Times New Roman" w:hAnsi="Times New Roman"/>
          <w:highlight w:val="none"/>
        </w:rPr>
        <w:t>防护</w:t>
      </w:r>
      <w:r>
        <w:rPr>
          <w:rFonts w:ascii="Times New Roman" w:hAnsi="Times New Roman"/>
          <w:kern w:val="0"/>
          <w:szCs w:val="20"/>
          <w:highlight w:val="none"/>
        </w:rPr>
        <w:t>要求包括：</w:t>
      </w:r>
    </w:p>
    <w:p>
      <w:pPr>
        <w:numPr>
          <w:ilvl w:val="0"/>
          <w:numId w:val="7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不应在数据库或文件系统中明文存储用户敏感信息；</w:t>
      </w:r>
    </w:p>
    <w:p>
      <w:pPr>
        <w:numPr>
          <w:ilvl w:val="0"/>
          <w:numId w:val="7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不应在Cookie中保存明文</w:t>
      </w:r>
      <w:r>
        <w:rPr>
          <w:rFonts w:hint="eastAsia" w:ascii="Times New Roman" w:hAnsi="Times New Roman"/>
          <w:kern w:val="0"/>
          <w:szCs w:val="20"/>
          <w:highlight w:val="none"/>
        </w:rPr>
        <w:t>口令</w:t>
      </w:r>
      <w:r>
        <w:rPr>
          <w:rFonts w:ascii="Times New Roman" w:hAnsi="Times New Roman"/>
          <w:kern w:val="0"/>
          <w:szCs w:val="20"/>
          <w:highlight w:val="none"/>
        </w:rPr>
        <w:t>；</w:t>
      </w:r>
    </w:p>
    <w:p>
      <w:pPr>
        <w:numPr>
          <w:ilvl w:val="0"/>
          <w:numId w:val="7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应采取会话保护措施保障工业APP与服务器端之间的会话不被窃听、篡改、伪造和重放；</w:t>
      </w:r>
    </w:p>
    <w:p>
      <w:pPr>
        <w:numPr>
          <w:ilvl w:val="0"/>
          <w:numId w:val="7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如使用开源第三方应用组件及代码，应对已公开安全漏洞及时更新补丁；</w:t>
      </w:r>
    </w:p>
    <w:p>
      <w:pPr>
        <w:numPr>
          <w:ilvl w:val="0"/>
          <w:numId w:val="76"/>
        </w:numPr>
        <w:adjustRightInd/>
        <w:spacing w:line="240" w:lineRule="auto"/>
        <w:rPr>
          <w:rFonts w:ascii="Times New Roman" w:hAnsi="Times New Roman"/>
          <w:kern w:val="0"/>
          <w:szCs w:val="20"/>
          <w:highlight w:val="none"/>
        </w:rPr>
      </w:pPr>
      <w:r>
        <w:rPr>
          <w:rFonts w:ascii="Times New Roman" w:hAnsi="Times New Roman"/>
          <w:szCs w:val="24"/>
          <w:highlight w:val="none"/>
        </w:rPr>
        <w:t>应保证工业APP运行稳定性，包括但不限于前后台切换操作无异常、锁屏截屏操作无异常、应用系统中断后无异常、强制终止后无异常等。</w:t>
      </w:r>
    </w:p>
    <w:p>
      <w:pPr>
        <w:pStyle w:val="68"/>
        <w:spacing w:before="156" w:after="156"/>
        <w:rPr>
          <w:rFonts w:ascii="Times New Roman"/>
          <w:highlight w:val="none"/>
        </w:rPr>
      </w:pPr>
      <w:bookmarkStart w:id="90" w:name="_Toc102984562"/>
      <w:bookmarkStart w:id="91" w:name="_Toc102992491"/>
      <w:r>
        <w:rPr>
          <w:rFonts w:ascii="Times New Roman"/>
          <w:highlight w:val="none"/>
        </w:rPr>
        <w:t>数据安全防护要求</w:t>
      </w:r>
      <w:bookmarkEnd w:id="90"/>
      <w:bookmarkEnd w:id="91"/>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应按照GB/T XXXXX-XXXX《</w:t>
      </w:r>
      <w:r>
        <w:rPr>
          <w:rFonts w:ascii="Times New Roman" w:hAnsi="Times New Roman"/>
          <w:kern w:val="0"/>
          <w:highlight w:val="none"/>
        </w:rPr>
        <w:t>工业互联网企业网络安全 第4部分：数据安全防护要求</w:t>
      </w:r>
      <w:r>
        <w:rPr>
          <w:rFonts w:ascii="Times New Roman" w:hAnsi="Times New Roman"/>
          <w:kern w:val="0"/>
          <w:szCs w:val="20"/>
          <w:highlight w:val="none"/>
        </w:rPr>
        <w:t>》对平台所使用和存储的数据进行分类分级，依据分级要求采取对应的数据安全防护措施。</w:t>
      </w:r>
    </w:p>
    <w:p>
      <w:pPr>
        <w:pStyle w:val="68"/>
        <w:spacing w:before="156" w:after="156"/>
        <w:rPr>
          <w:rFonts w:ascii="Times New Roman"/>
          <w:highlight w:val="none"/>
        </w:rPr>
      </w:pPr>
      <w:bookmarkStart w:id="92" w:name="_Toc102984563"/>
      <w:bookmarkStart w:id="93" w:name="_Toc102992492"/>
      <w:r>
        <w:rPr>
          <w:rFonts w:ascii="Times New Roman"/>
          <w:highlight w:val="none"/>
        </w:rPr>
        <w:t>安全管理</w:t>
      </w:r>
      <w:bookmarkEnd w:id="92"/>
      <w:bookmarkEnd w:id="93"/>
    </w:p>
    <w:p>
      <w:pPr>
        <w:pStyle w:val="97"/>
        <w:spacing w:before="156" w:after="156"/>
        <w:ind w:left="0"/>
        <w:rPr>
          <w:rFonts w:ascii="Times New Roman"/>
          <w:highlight w:val="none"/>
        </w:rPr>
      </w:pPr>
      <w:bookmarkStart w:id="94" w:name="_Toc102984564"/>
      <w:r>
        <w:rPr>
          <w:rFonts w:ascii="Times New Roman"/>
          <w:highlight w:val="none"/>
        </w:rPr>
        <w:t>安全管理制度</w:t>
      </w:r>
      <w:bookmarkEnd w:id="94"/>
    </w:p>
    <w:p>
      <w:pPr>
        <w:adjustRightInd/>
        <w:spacing w:line="240" w:lineRule="auto"/>
        <w:ind w:firstLine="420"/>
        <w:rPr>
          <w:rFonts w:ascii="Times New Roman" w:hAnsi="Times New Roman"/>
          <w:kern w:val="0"/>
          <w:szCs w:val="20"/>
          <w:highlight w:val="none"/>
        </w:rPr>
      </w:pPr>
      <w:bookmarkStart w:id="95" w:name="_Hlk55415982"/>
      <w:r>
        <w:rPr>
          <w:rFonts w:ascii="Times New Roman" w:hAnsi="Times New Roman"/>
          <w:kern w:val="0"/>
          <w:szCs w:val="20"/>
          <w:highlight w:val="none"/>
        </w:rPr>
        <w:t>安全管理制度安全要求包括：</w:t>
      </w:r>
    </w:p>
    <w:p>
      <w:pPr>
        <w:pStyle w:val="177"/>
        <w:numPr>
          <w:ilvl w:val="0"/>
          <w:numId w:val="77"/>
        </w:numPr>
        <w:rPr>
          <w:rFonts w:ascii="Times New Roman"/>
          <w:highlight w:val="none"/>
        </w:rPr>
      </w:pPr>
      <w:r>
        <w:rPr>
          <w:rFonts w:ascii="Times New Roman"/>
          <w:highlight w:val="none"/>
        </w:rPr>
        <w:t>应依据工业互联网平台企业业务功能与监管单位要求建立安全管理制度；</w:t>
      </w:r>
    </w:p>
    <w:p>
      <w:pPr>
        <w:pStyle w:val="177"/>
        <w:numPr>
          <w:ilvl w:val="0"/>
          <w:numId w:val="77"/>
        </w:numPr>
        <w:rPr>
          <w:rFonts w:ascii="Times New Roman"/>
          <w:highlight w:val="none"/>
        </w:rPr>
      </w:pPr>
      <w:r>
        <w:rPr>
          <w:rFonts w:ascii="Times New Roman"/>
          <w:highlight w:val="none"/>
        </w:rPr>
        <w:t>应制定安全工作的总体方针和安全策略，说明安全工作的总体目标、范围、原则和安全框架等；</w:t>
      </w:r>
    </w:p>
    <w:p>
      <w:pPr>
        <w:pStyle w:val="177"/>
        <w:numPr>
          <w:ilvl w:val="0"/>
          <w:numId w:val="77"/>
        </w:numPr>
        <w:rPr>
          <w:rFonts w:ascii="Times New Roman"/>
          <w:highlight w:val="none"/>
        </w:rPr>
      </w:pPr>
      <w:r>
        <w:rPr>
          <w:rFonts w:ascii="Times New Roman"/>
          <w:highlight w:val="none"/>
        </w:rPr>
        <w:t>应定期对安全管理制度的合理性和适用性进行论证和审定，对存在不足或需要改进的安全管理制度及时进行修订；</w:t>
      </w:r>
    </w:p>
    <w:p>
      <w:pPr>
        <w:pStyle w:val="177"/>
        <w:numPr>
          <w:ilvl w:val="0"/>
          <w:numId w:val="77"/>
        </w:numPr>
        <w:rPr>
          <w:rFonts w:ascii="Times New Roman"/>
          <w:highlight w:val="none"/>
        </w:rPr>
      </w:pPr>
      <w:r>
        <w:rPr>
          <w:rFonts w:ascii="Times New Roman"/>
          <w:highlight w:val="none"/>
        </w:rPr>
        <w:t>应指定或授权专人负责安全管理制度的制定和修订，并通过正式流程进行发布和版本控制。</w:t>
      </w:r>
    </w:p>
    <w:bookmarkEnd w:id="95"/>
    <w:p>
      <w:pPr>
        <w:pStyle w:val="97"/>
        <w:spacing w:before="156" w:after="156"/>
        <w:ind w:left="0"/>
        <w:rPr>
          <w:rFonts w:ascii="Times New Roman"/>
          <w:highlight w:val="none"/>
        </w:rPr>
      </w:pPr>
      <w:bookmarkStart w:id="96" w:name="_Toc102984565"/>
      <w:r>
        <w:rPr>
          <w:rFonts w:ascii="Times New Roman"/>
          <w:highlight w:val="none"/>
        </w:rPr>
        <w:t>安全管理机构和人员要求</w:t>
      </w:r>
      <w:bookmarkEnd w:id="96"/>
    </w:p>
    <w:p>
      <w:pPr>
        <w:pStyle w:val="101"/>
        <w:spacing w:before="156" w:after="156"/>
        <w:ind w:left="0"/>
        <w:rPr>
          <w:rFonts w:ascii="Times New Roman"/>
          <w:highlight w:val="none"/>
        </w:rPr>
      </w:pPr>
      <w:r>
        <w:rPr>
          <w:rFonts w:ascii="Times New Roman"/>
          <w:highlight w:val="none"/>
        </w:rPr>
        <w:t>安全管理机构</w:t>
      </w:r>
    </w:p>
    <w:p>
      <w:pPr>
        <w:adjustRightInd/>
        <w:spacing w:line="240" w:lineRule="auto"/>
        <w:rPr>
          <w:rFonts w:ascii="Times New Roman" w:hAnsi="Times New Roman"/>
          <w:szCs w:val="22"/>
          <w:highlight w:val="none"/>
        </w:rPr>
      </w:pPr>
      <w:r>
        <w:rPr>
          <w:rFonts w:ascii="Times New Roman" w:hAnsi="Times New Roman"/>
          <w:szCs w:val="22"/>
          <w:highlight w:val="none"/>
        </w:rPr>
        <w:t xml:space="preserve">    安全管理机构安全要求包括：</w:t>
      </w:r>
    </w:p>
    <w:p>
      <w:pPr>
        <w:numPr>
          <w:ilvl w:val="0"/>
          <w:numId w:val="78"/>
        </w:numPr>
        <w:adjustRightInd/>
        <w:spacing w:line="240" w:lineRule="auto"/>
        <w:rPr>
          <w:rFonts w:ascii="Times New Roman" w:hAnsi="Times New Roman"/>
          <w:szCs w:val="22"/>
          <w:highlight w:val="none"/>
        </w:rPr>
      </w:pPr>
      <w:r>
        <w:rPr>
          <w:rFonts w:ascii="Times New Roman" w:hAnsi="Times New Roman"/>
          <w:kern w:val="0"/>
          <w:szCs w:val="20"/>
          <w:highlight w:val="none"/>
        </w:rPr>
        <w:t>应明确指定一个机构，具体承担网络安全管理工作，组织制定和落实网络安全管理制度，实施网络安全技术防护措施，开展网络安全宣传教育培训，执行网络安全监督检查等；</w:t>
      </w:r>
    </w:p>
    <w:p>
      <w:pPr>
        <w:numPr>
          <w:ilvl w:val="0"/>
          <w:numId w:val="7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应设立安全管理工作的职能部门，设立安全主管、安全管理各个方面的负责人岗位，以及系统管理员、网络管理员、安全管理员等专职人员岗位，并明确部门、各负责人和专职人员的岗位职责；</w:t>
      </w:r>
    </w:p>
    <w:p>
      <w:pPr>
        <w:numPr>
          <w:ilvl w:val="0"/>
          <w:numId w:val="7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应根据各职能部门和相关岗位的职责，明确对应的授权审批事项、审批部门和批准人等；</w:t>
      </w:r>
    </w:p>
    <w:p>
      <w:pPr>
        <w:numPr>
          <w:ilvl w:val="0"/>
          <w:numId w:val="7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应针对系统变更、重要操作、物理访问和系统接入等事项执行审批过程；</w:t>
      </w:r>
    </w:p>
    <w:p>
      <w:pPr>
        <w:numPr>
          <w:ilvl w:val="0"/>
          <w:numId w:val="7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应定期进行常规安全检查，检查内容包括系统日常运行、系统漏洞和数据备份等。</w:t>
      </w:r>
    </w:p>
    <w:p>
      <w:pPr>
        <w:pStyle w:val="101"/>
        <w:spacing w:before="156" w:after="156"/>
        <w:ind w:left="0"/>
        <w:rPr>
          <w:rFonts w:ascii="Times New Roman"/>
          <w:highlight w:val="none"/>
        </w:rPr>
      </w:pPr>
      <w:r>
        <w:rPr>
          <w:rFonts w:ascii="Times New Roman"/>
          <w:highlight w:val="none"/>
        </w:rPr>
        <w:t>人员</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人员安全要求：</w:t>
      </w:r>
    </w:p>
    <w:p>
      <w:pPr>
        <w:numPr>
          <w:ilvl w:val="0"/>
          <w:numId w:val="7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应加强相关部门之间、不同安全管理岗位人员之间的协作沟通，定期召开协调会议；</w:t>
      </w:r>
    </w:p>
    <w:p>
      <w:pPr>
        <w:numPr>
          <w:ilvl w:val="0"/>
          <w:numId w:val="7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应加强与工业互联网平台安全主管部门、各类供应商、业界专家的合作与沟通；</w:t>
      </w:r>
    </w:p>
    <w:p>
      <w:pPr>
        <w:numPr>
          <w:ilvl w:val="0"/>
          <w:numId w:val="7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应对被录用的工业互联网平台管理人员及第三方人员的身份、背景、专业资格和资质等进行审查；</w:t>
      </w:r>
    </w:p>
    <w:p>
      <w:pPr>
        <w:numPr>
          <w:ilvl w:val="0"/>
          <w:numId w:val="7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应及时终止离岗员工的所有访问权限，</w:t>
      </w:r>
      <w:r>
        <w:rPr>
          <w:rFonts w:ascii="Times New Roman" w:hAnsi="Times New Roman"/>
          <w:kern w:val="0"/>
          <w:highlight w:val="none"/>
        </w:rPr>
        <w:t>并按照规范流程</w:t>
      </w:r>
      <w:r>
        <w:rPr>
          <w:rFonts w:ascii="Times New Roman" w:hAnsi="Times New Roman"/>
          <w:kern w:val="0"/>
          <w:szCs w:val="20"/>
          <w:highlight w:val="none"/>
        </w:rPr>
        <w:t>取回各种身份证件、钥匙、徽章等以及企业提供的软硬件设备；</w:t>
      </w:r>
    </w:p>
    <w:p>
      <w:pPr>
        <w:numPr>
          <w:ilvl w:val="0"/>
          <w:numId w:val="7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应定期对工业互联网平台管理人员及第三方人员进行安全意识教育和岗位技能培训，并告知相关的安全责任和惩戒措施；</w:t>
      </w:r>
    </w:p>
    <w:p>
      <w:pPr>
        <w:numPr>
          <w:ilvl w:val="0"/>
          <w:numId w:val="7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应确保在外部人员物理访问受控区域或接入受控网络系统前先提出书面申请，批准后由专人全程陪同或由专人开设账户及分配权限和期限，并登记备案；</w:t>
      </w:r>
    </w:p>
    <w:p>
      <w:pPr>
        <w:numPr>
          <w:ilvl w:val="0"/>
          <w:numId w:val="79"/>
        </w:numPr>
        <w:adjustRightInd/>
        <w:spacing w:line="240" w:lineRule="auto"/>
        <w:rPr>
          <w:rFonts w:ascii="Times New Roman" w:hAnsi="Times New Roman"/>
          <w:kern w:val="0"/>
          <w:szCs w:val="20"/>
          <w:highlight w:val="none"/>
        </w:rPr>
      </w:pPr>
      <w:r>
        <w:rPr>
          <w:rFonts w:ascii="Times New Roman" w:hAnsi="Times New Roman"/>
          <w:highlight w:val="none"/>
        </w:rPr>
        <w:t>外部人员离场后应及时清除其所有的访问权限。</w:t>
      </w:r>
    </w:p>
    <w:p>
      <w:pPr>
        <w:pStyle w:val="97"/>
        <w:spacing w:before="156" w:after="156"/>
        <w:ind w:left="0"/>
        <w:rPr>
          <w:rFonts w:ascii="Times New Roman"/>
          <w:highlight w:val="none"/>
        </w:rPr>
      </w:pPr>
      <w:bookmarkStart w:id="97" w:name="_Toc102984566"/>
      <w:r>
        <w:rPr>
          <w:rFonts w:ascii="Times New Roman"/>
          <w:highlight w:val="none"/>
        </w:rPr>
        <w:t>安全建设管理要求</w:t>
      </w:r>
      <w:bookmarkEnd w:id="97"/>
    </w:p>
    <w:p>
      <w:pPr>
        <w:pStyle w:val="101"/>
        <w:spacing w:before="156" w:after="156"/>
        <w:ind w:left="0"/>
        <w:rPr>
          <w:rFonts w:ascii="Times New Roman"/>
          <w:highlight w:val="none"/>
        </w:rPr>
      </w:pPr>
      <w:bookmarkStart w:id="98" w:name="_Hlk46761236"/>
      <w:bookmarkStart w:id="99" w:name="_Toc494121124"/>
      <w:r>
        <w:rPr>
          <w:rFonts w:ascii="Times New Roman"/>
          <w:highlight w:val="none"/>
        </w:rPr>
        <w:t>定级</w:t>
      </w:r>
    </w:p>
    <w:p>
      <w:pPr>
        <w:pStyle w:val="177"/>
        <w:numPr>
          <w:ilvl w:val="0"/>
          <w:numId w:val="0"/>
        </w:numPr>
        <w:ind w:left="851" w:hanging="426"/>
        <w:rPr>
          <w:rFonts w:ascii="Times New Roman"/>
          <w:highlight w:val="none"/>
        </w:rPr>
      </w:pPr>
      <w:r>
        <w:rPr>
          <w:rFonts w:ascii="Times New Roman"/>
          <w:highlight w:val="none"/>
        </w:rPr>
        <w:t>定级要求包括：</w:t>
      </w:r>
    </w:p>
    <w:p>
      <w:pPr>
        <w:pStyle w:val="177"/>
        <w:numPr>
          <w:ilvl w:val="0"/>
          <w:numId w:val="80"/>
        </w:numPr>
        <w:rPr>
          <w:rFonts w:ascii="Times New Roman"/>
          <w:highlight w:val="none"/>
        </w:rPr>
      </w:pPr>
      <w:r>
        <w:rPr>
          <w:rFonts w:ascii="Times New Roman"/>
          <w:highlight w:val="none"/>
        </w:rPr>
        <w:t>应明确本企业的安全等级；</w:t>
      </w:r>
    </w:p>
    <w:p>
      <w:pPr>
        <w:pStyle w:val="177"/>
        <w:numPr>
          <w:ilvl w:val="0"/>
          <w:numId w:val="80"/>
        </w:numPr>
        <w:rPr>
          <w:rFonts w:ascii="Times New Roman"/>
          <w:highlight w:val="none"/>
        </w:rPr>
      </w:pPr>
      <w:r>
        <w:rPr>
          <w:rFonts w:ascii="Times New Roman"/>
          <w:highlight w:val="none"/>
        </w:rPr>
        <w:t>应以书面形式说明企业确定为某安全等级的方法和理由。</w:t>
      </w:r>
    </w:p>
    <w:bookmarkEnd w:id="98"/>
    <w:p>
      <w:pPr>
        <w:pStyle w:val="101"/>
        <w:spacing w:before="156" w:after="156"/>
        <w:ind w:left="0"/>
        <w:rPr>
          <w:rFonts w:ascii="Times New Roman"/>
          <w:highlight w:val="none"/>
        </w:rPr>
      </w:pPr>
      <w:r>
        <w:rPr>
          <w:rFonts w:ascii="Times New Roman"/>
          <w:highlight w:val="none"/>
        </w:rPr>
        <w:t>安全方案设计</w:t>
      </w:r>
      <w:bookmarkEnd w:id="99"/>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安全方案设计要求包括：</w:t>
      </w:r>
    </w:p>
    <w:p>
      <w:pPr>
        <w:numPr>
          <w:ilvl w:val="0"/>
          <w:numId w:val="81"/>
        </w:numPr>
        <w:adjustRightInd/>
        <w:spacing w:line="240" w:lineRule="auto"/>
        <w:ind w:hanging="414"/>
        <w:rPr>
          <w:rFonts w:ascii="Times New Roman" w:hAnsi="Times New Roman"/>
          <w:kern w:val="0"/>
          <w:szCs w:val="20"/>
          <w:highlight w:val="none"/>
        </w:rPr>
      </w:pPr>
      <w:r>
        <w:rPr>
          <w:rFonts w:ascii="Times New Roman" w:hAnsi="Times New Roman"/>
          <w:kern w:val="0"/>
          <w:szCs w:val="20"/>
          <w:highlight w:val="none"/>
        </w:rPr>
        <w:t>应根据安全防护对象的安全防护需求进行安全方案设计；</w:t>
      </w:r>
    </w:p>
    <w:p>
      <w:pPr>
        <w:numPr>
          <w:ilvl w:val="0"/>
          <w:numId w:val="81"/>
        </w:numPr>
        <w:adjustRightInd/>
        <w:spacing w:line="240" w:lineRule="auto"/>
        <w:ind w:hanging="414"/>
        <w:rPr>
          <w:rFonts w:ascii="Times New Roman" w:hAnsi="Times New Roman"/>
          <w:kern w:val="0"/>
          <w:szCs w:val="20"/>
          <w:highlight w:val="none"/>
        </w:rPr>
      </w:pPr>
      <w:r>
        <w:rPr>
          <w:rFonts w:ascii="Times New Roman" w:hAnsi="Times New Roman"/>
          <w:kern w:val="0"/>
          <w:szCs w:val="20"/>
          <w:highlight w:val="none"/>
        </w:rPr>
        <w:t>应组织相关部门和有关安全专家对安全方案的合理性和正确性进行论证和审定，经过批准后才能正式实施。</w:t>
      </w:r>
    </w:p>
    <w:p>
      <w:pPr>
        <w:pStyle w:val="101"/>
        <w:spacing w:before="156" w:after="156"/>
        <w:ind w:left="0"/>
        <w:rPr>
          <w:rFonts w:ascii="Times New Roman"/>
          <w:highlight w:val="none"/>
        </w:rPr>
      </w:pPr>
      <w:bookmarkStart w:id="100" w:name="_Toc494121125"/>
      <w:r>
        <w:rPr>
          <w:rFonts w:ascii="Times New Roman"/>
          <w:highlight w:val="none"/>
        </w:rPr>
        <w:t>产品采购和使用</w:t>
      </w:r>
      <w:bookmarkEnd w:id="100"/>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产品采购和使用安全要求包括：</w:t>
      </w:r>
    </w:p>
    <w:p>
      <w:pPr>
        <w:numPr>
          <w:ilvl w:val="0"/>
          <w:numId w:val="8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工业互联网平台的重要设备及专用安全产品应通过国家及行业监管部门认可的专业机构的安全性及电磁兼容性检测后方可采购使用；</w:t>
      </w:r>
    </w:p>
    <w:p>
      <w:pPr>
        <w:numPr>
          <w:ilvl w:val="0"/>
          <w:numId w:val="8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应确保安全产品与服务的采购和使用符合国家的有关规定。</w:t>
      </w:r>
    </w:p>
    <w:p>
      <w:pPr>
        <w:pStyle w:val="101"/>
        <w:spacing w:before="156" w:after="156"/>
        <w:ind w:left="0"/>
        <w:rPr>
          <w:rFonts w:ascii="Times New Roman"/>
          <w:highlight w:val="none"/>
        </w:rPr>
      </w:pPr>
      <w:bookmarkStart w:id="101" w:name="_Toc494121127"/>
      <w:bookmarkStart w:id="102" w:name="_Hlk59385117"/>
      <w:r>
        <w:rPr>
          <w:rFonts w:ascii="Times New Roman"/>
          <w:highlight w:val="none"/>
        </w:rPr>
        <w:t>软件开发</w:t>
      </w:r>
      <w:bookmarkEnd w:id="101"/>
    </w:p>
    <w:bookmarkEnd w:id="102"/>
    <w:p>
      <w:pPr>
        <w:tabs>
          <w:tab w:val="left" w:pos="846"/>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软件开发安全要求包括：</w:t>
      </w:r>
    </w:p>
    <w:p>
      <w:pPr>
        <w:numPr>
          <w:ilvl w:val="0"/>
          <w:numId w:val="8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应确保开发环境与实际运行环境物理分开，测试数据和测试结果受到控制；</w:t>
      </w:r>
    </w:p>
    <w:p>
      <w:pPr>
        <w:numPr>
          <w:ilvl w:val="0"/>
          <w:numId w:val="8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应在软件开发过程中进行安全性测试；</w:t>
      </w:r>
    </w:p>
    <w:p>
      <w:pPr>
        <w:numPr>
          <w:ilvl w:val="0"/>
          <w:numId w:val="8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应在软件交付前进行缺陷和恶意代码等安全检测；</w:t>
      </w:r>
    </w:p>
    <w:p>
      <w:pPr>
        <w:numPr>
          <w:ilvl w:val="0"/>
          <w:numId w:val="8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应要求开发单位提供软件设计文档和使用指南；</w:t>
      </w:r>
    </w:p>
    <w:p>
      <w:pPr>
        <w:numPr>
          <w:ilvl w:val="0"/>
          <w:numId w:val="8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应在外包开发合同中包含开发单位、供应商对所提供设备及系统在生命周期内有关保密、禁止关键技术扩散和设备行业专用等方面的约束条款。</w:t>
      </w:r>
    </w:p>
    <w:p>
      <w:pPr>
        <w:pStyle w:val="101"/>
        <w:spacing w:before="156" w:after="156"/>
        <w:ind w:left="0"/>
        <w:rPr>
          <w:rFonts w:ascii="Times New Roman"/>
          <w:highlight w:val="none"/>
        </w:rPr>
      </w:pPr>
      <w:r>
        <w:rPr>
          <w:rFonts w:ascii="Times New Roman"/>
          <w:highlight w:val="none"/>
        </w:rPr>
        <w:t>系统交付</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系统交付安全要求包括：</w:t>
      </w:r>
    </w:p>
    <w:p>
      <w:pPr>
        <w:numPr>
          <w:ilvl w:val="0"/>
          <w:numId w:val="8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应制订安全性测试验收方案，并依据测试验收方案实施验收，形成验收报告；</w:t>
      </w:r>
    </w:p>
    <w:p>
      <w:pPr>
        <w:numPr>
          <w:ilvl w:val="0"/>
          <w:numId w:val="8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应根据交付清单对所交接的设备、软件和文档等进行清点；</w:t>
      </w:r>
    </w:p>
    <w:p>
      <w:pPr>
        <w:numPr>
          <w:ilvl w:val="0"/>
          <w:numId w:val="8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应对负责运行维护的技术人员进行相应的技能培训；</w:t>
      </w:r>
    </w:p>
    <w:p>
      <w:pPr>
        <w:numPr>
          <w:ilvl w:val="0"/>
          <w:numId w:val="8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应提供建设过程中的文档和指导用户进行运行维护的文档。</w:t>
      </w:r>
    </w:p>
    <w:p>
      <w:pPr>
        <w:pStyle w:val="101"/>
        <w:spacing w:before="156" w:after="156"/>
        <w:ind w:left="0"/>
        <w:rPr>
          <w:rFonts w:ascii="Times New Roman"/>
          <w:highlight w:val="none"/>
        </w:rPr>
      </w:pPr>
      <w:bookmarkStart w:id="103" w:name="_Toc494121129"/>
      <w:r>
        <w:rPr>
          <w:rFonts w:ascii="Times New Roman"/>
          <w:highlight w:val="none"/>
        </w:rPr>
        <w:t>服务供应商选择</w:t>
      </w:r>
      <w:bookmarkEnd w:id="103"/>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服务供应商选择安全要求包括：</w:t>
      </w:r>
    </w:p>
    <w:p>
      <w:pPr>
        <w:numPr>
          <w:ilvl w:val="0"/>
          <w:numId w:val="8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应选择安全合规的设备、服务、工业互联网平台供应商，其所提供的设备、平台系统等应为其所承载的业务提供相应的安全防护能力；</w:t>
      </w:r>
    </w:p>
    <w:p>
      <w:pPr>
        <w:numPr>
          <w:ilvl w:val="0"/>
          <w:numId w:val="8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应在服务协议中规定具体服务内容和技术指标；</w:t>
      </w:r>
    </w:p>
    <w:p>
      <w:pPr>
        <w:numPr>
          <w:ilvl w:val="0"/>
          <w:numId w:val="8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应在服务协议中规定供应商的权限与责任，包括管理范围、职责划分、访问授权、隐私保护、行为准则、违约责任等；</w:t>
      </w:r>
    </w:p>
    <w:p>
      <w:pPr>
        <w:numPr>
          <w:ilvl w:val="0"/>
          <w:numId w:val="8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应与选定的服务供应商签订相关协议，明确供应链各方需履行的安全相关义务；</w:t>
      </w:r>
    </w:p>
    <w:p>
      <w:pPr>
        <w:numPr>
          <w:ilvl w:val="0"/>
          <w:numId w:val="8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应在服务协议中规定服务合约到期时，完整地返还客户信息，并承诺相关信息均已在云计算平台、工业互联网平台系统上清除；</w:t>
      </w:r>
    </w:p>
    <w:p>
      <w:pPr>
        <w:numPr>
          <w:ilvl w:val="0"/>
          <w:numId w:val="8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应确保供应链安全事件信息或威胁信息能够及时传达到客户；</w:t>
      </w:r>
    </w:p>
    <w:p>
      <w:pPr>
        <w:numPr>
          <w:ilvl w:val="0"/>
          <w:numId w:val="8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应确保外包运维服务商的选择符合国家的有关规定；</w:t>
      </w:r>
    </w:p>
    <w:p>
      <w:pPr>
        <w:numPr>
          <w:ilvl w:val="0"/>
          <w:numId w:val="85"/>
        </w:numPr>
        <w:adjustRightInd/>
        <w:spacing w:line="240" w:lineRule="auto"/>
        <w:rPr>
          <w:rFonts w:ascii="Times New Roman" w:hAnsi="Times New Roman"/>
          <w:kern w:val="0"/>
          <w:szCs w:val="20"/>
          <w:highlight w:val="none"/>
        </w:rPr>
      </w:pPr>
      <w:r>
        <w:rPr>
          <w:rFonts w:ascii="Times New Roman" w:hAnsi="Times New Roman"/>
          <w:highlight w:val="none"/>
        </w:rPr>
        <w:t>应与选定的外包运维服务商签订相关的协议，明确约定外包运维的范围、工作内容。</w:t>
      </w:r>
    </w:p>
    <w:p>
      <w:pPr>
        <w:pStyle w:val="97"/>
        <w:spacing w:before="156" w:after="156"/>
        <w:ind w:left="0"/>
        <w:rPr>
          <w:rFonts w:ascii="Times New Roman"/>
          <w:highlight w:val="none"/>
        </w:rPr>
      </w:pPr>
      <w:bookmarkStart w:id="104" w:name="_Toc102984567"/>
      <w:r>
        <w:rPr>
          <w:rFonts w:ascii="Times New Roman"/>
          <w:highlight w:val="none"/>
        </w:rPr>
        <w:t>安全运维管理要求</w:t>
      </w:r>
      <w:bookmarkEnd w:id="104"/>
    </w:p>
    <w:p>
      <w:pPr>
        <w:pStyle w:val="101"/>
        <w:spacing w:before="156" w:after="156"/>
        <w:ind w:left="0"/>
        <w:rPr>
          <w:rFonts w:ascii="Times New Roman"/>
          <w:highlight w:val="none"/>
        </w:rPr>
      </w:pPr>
      <w:r>
        <w:rPr>
          <w:rFonts w:ascii="Times New Roman"/>
          <w:highlight w:val="none"/>
        </w:rPr>
        <w:t>环境管理</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环境管理安全要求包括：</w:t>
      </w:r>
    </w:p>
    <w:p>
      <w:pPr>
        <w:numPr>
          <w:ilvl w:val="0"/>
          <w:numId w:val="8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应对机房的安全管理做出规定,指定专门的部门或人员负责机房安全，对机房出入进行管理，定期对机房供配电、空调、温湿度控制、消防等设施进行维护管理；</w:t>
      </w:r>
    </w:p>
    <w:p>
      <w:pPr>
        <w:numPr>
          <w:ilvl w:val="0"/>
          <w:numId w:val="8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应不在重要区域接待来访人员。</w:t>
      </w:r>
    </w:p>
    <w:p>
      <w:pPr>
        <w:pStyle w:val="101"/>
        <w:spacing w:before="156" w:after="156"/>
        <w:ind w:left="0"/>
        <w:rPr>
          <w:rFonts w:ascii="Times New Roman"/>
          <w:highlight w:val="none"/>
        </w:rPr>
      </w:pPr>
      <w:r>
        <w:rPr>
          <w:rFonts w:ascii="Times New Roman"/>
          <w:highlight w:val="none"/>
        </w:rPr>
        <w:t>资产管理</w:t>
      </w:r>
    </w:p>
    <w:p>
      <w:pPr>
        <w:adjustRightInd/>
        <w:spacing w:line="240" w:lineRule="auto"/>
        <w:rPr>
          <w:rFonts w:ascii="Times New Roman" w:hAnsi="Times New Roman"/>
          <w:kern w:val="0"/>
          <w:szCs w:val="20"/>
          <w:highlight w:val="none"/>
        </w:rPr>
      </w:pPr>
      <w:bookmarkStart w:id="105" w:name="_Toc494121138"/>
      <w:r>
        <w:rPr>
          <w:rFonts w:ascii="Times New Roman" w:hAnsi="Times New Roman"/>
          <w:kern w:val="0"/>
          <w:szCs w:val="20"/>
          <w:highlight w:val="none"/>
        </w:rPr>
        <w:t xml:space="preserve">    资产管理安全要求包括：</w:t>
      </w:r>
    </w:p>
    <w:p>
      <w:pPr>
        <w:numPr>
          <w:ilvl w:val="0"/>
          <w:numId w:val="8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应编制并保存与保护对象相关的资产清单，包括资产责任部门、重要程度和所处位置等内容；</w:t>
      </w:r>
    </w:p>
    <w:p>
      <w:pPr>
        <w:numPr>
          <w:ilvl w:val="0"/>
          <w:numId w:val="8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应确保介质存放在安全的环境中，对各类介质进行控制和保护，实行存储环境专人管理，并根据存档介质的目录清单定期盘点；</w:t>
      </w:r>
    </w:p>
    <w:p>
      <w:pPr>
        <w:numPr>
          <w:ilvl w:val="0"/>
          <w:numId w:val="8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应对介质在物理传输过程中的人员选择、打包、交付等情况进行控制，并对介质的归档和查询等进行登记记录；</w:t>
      </w:r>
    </w:p>
    <w:p>
      <w:pPr>
        <w:numPr>
          <w:ilvl w:val="0"/>
          <w:numId w:val="8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应对各种设备（包括备份和冗余设备）、线路等定期进行维护管理；</w:t>
      </w:r>
    </w:p>
    <w:p>
      <w:pPr>
        <w:numPr>
          <w:ilvl w:val="0"/>
          <w:numId w:val="8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应记录工业互联网平台相关设备的状态（包括外观、电量、指示灯等信息），对设备进行现场维护（除尘、充电、修理等）；</w:t>
      </w:r>
    </w:p>
    <w:p>
      <w:pPr>
        <w:numPr>
          <w:ilvl w:val="0"/>
          <w:numId w:val="8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应对工业互联网平台部署环境的评估方法作出明确规定；</w:t>
      </w:r>
    </w:p>
    <w:p>
      <w:pPr>
        <w:numPr>
          <w:ilvl w:val="0"/>
          <w:numId w:val="8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应对工业互联网平台相关设备入库、存储、部署、携带、维修、丢失和报废等过程作出明确规定，并进行全程管理；</w:t>
      </w:r>
    </w:p>
    <w:p>
      <w:pPr>
        <w:numPr>
          <w:ilvl w:val="0"/>
          <w:numId w:val="8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应采用国家密码管理主管部门批准使用的密码算法和认证核准的密码产品；</w:t>
      </w:r>
    </w:p>
    <w:p>
      <w:pPr>
        <w:numPr>
          <w:ilvl w:val="0"/>
          <w:numId w:val="8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应明确资产变更需求，变更前根据变更需求制定变更方案，变更方案经过评审、审批后方可实施。</w:t>
      </w:r>
    </w:p>
    <w:p>
      <w:pPr>
        <w:pStyle w:val="101"/>
        <w:spacing w:before="156" w:after="156"/>
        <w:ind w:left="0"/>
        <w:rPr>
          <w:rFonts w:ascii="Times New Roman"/>
          <w:highlight w:val="none"/>
        </w:rPr>
      </w:pPr>
      <w:r>
        <w:rPr>
          <w:rFonts w:ascii="Times New Roman"/>
          <w:highlight w:val="none"/>
        </w:rPr>
        <w:t>安全审计</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w:t>
      </w:r>
      <w:r>
        <w:rPr>
          <w:rFonts w:ascii="Times New Roman" w:hAnsi="Times New Roman"/>
          <w:highlight w:val="none"/>
        </w:rPr>
        <w:t>安全审计要求包括：</w:t>
      </w:r>
    </w:p>
    <w:p>
      <w:pPr>
        <w:numPr>
          <w:ilvl w:val="0"/>
          <w:numId w:val="8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应对重要设备、平台、系统等启用安全审计功能，对重要的用户行为和重要安全事件进行审计；审计记录应包括事件的日期和时间、用户、事件类型、事件是否成功及其他与审计相关的信息；</w:t>
      </w:r>
    </w:p>
    <w:p>
      <w:pPr>
        <w:numPr>
          <w:ilvl w:val="0"/>
          <w:numId w:val="8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应对审计记录进行保护，定期备份，避免未预期的删除、修改或覆盖等；审计记录中应避免明文记录敏感数据，如用户口令等；</w:t>
      </w:r>
    </w:p>
    <w:p>
      <w:pPr>
        <w:numPr>
          <w:ilvl w:val="0"/>
          <w:numId w:val="8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应确保审计记录的留存时间不少于6个月。</w:t>
      </w:r>
    </w:p>
    <w:p>
      <w:pPr>
        <w:pStyle w:val="101"/>
        <w:spacing w:before="156" w:after="156"/>
        <w:ind w:left="0"/>
        <w:rPr>
          <w:rFonts w:ascii="Times New Roman"/>
          <w:highlight w:val="none"/>
        </w:rPr>
      </w:pPr>
      <w:bookmarkStart w:id="106" w:name="_Toc494121251"/>
      <w:r>
        <w:rPr>
          <w:rFonts w:ascii="Times New Roman"/>
          <w:highlight w:val="none"/>
        </w:rPr>
        <w:t>配置管理</w:t>
      </w:r>
      <w:bookmarkEnd w:id="106"/>
    </w:p>
    <w:p>
      <w:pPr>
        <w:adjustRightInd/>
        <w:spacing w:line="240" w:lineRule="auto"/>
        <w:ind w:left="424" w:leftChars="200" w:hanging="4" w:hangingChars="2"/>
        <w:rPr>
          <w:rFonts w:ascii="Times New Roman" w:hAnsi="Times New Roman"/>
          <w:kern w:val="0"/>
          <w:szCs w:val="20"/>
          <w:highlight w:val="none"/>
        </w:rPr>
      </w:pPr>
      <w:r>
        <w:rPr>
          <w:rFonts w:ascii="Times New Roman" w:hAnsi="Times New Roman"/>
          <w:kern w:val="0"/>
          <w:szCs w:val="20"/>
          <w:highlight w:val="none"/>
        </w:rPr>
        <w:t>配置管理安全要求包括：</w:t>
      </w:r>
    </w:p>
    <w:p>
      <w:pPr>
        <w:adjustRightInd/>
        <w:spacing w:line="240" w:lineRule="auto"/>
        <w:ind w:left="424" w:leftChars="200" w:hanging="4" w:hangingChars="2"/>
        <w:rPr>
          <w:rFonts w:ascii="Times New Roman" w:hAnsi="Times New Roman"/>
          <w:kern w:val="0"/>
          <w:szCs w:val="20"/>
          <w:highlight w:val="none"/>
        </w:rPr>
      </w:pPr>
      <w:r>
        <w:rPr>
          <w:rFonts w:ascii="Times New Roman" w:hAnsi="Times New Roman"/>
          <w:kern w:val="0"/>
          <w:szCs w:val="20"/>
          <w:highlight w:val="none"/>
        </w:rPr>
        <w:t>应记录和保存基本配置信息，包括网络拓扑结构、各个设备安装的软件组件、软件组件的版本和补丁信息、各个设备或软件组件的配置参数等。</w:t>
      </w:r>
    </w:p>
    <w:p>
      <w:pPr>
        <w:pStyle w:val="101"/>
        <w:spacing w:before="156" w:after="156"/>
        <w:ind w:left="0"/>
        <w:rPr>
          <w:rFonts w:ascii="Times New Roman"/>
          <w:highlight w:val="none"/>
        </w:rPr>
      </w:pPr>
      <w:r>
        <w:rPr>
          <w:rFonts w:ascii="Times New Roman"/>
          <w:highlight w:val="none"/>
        </w:rPr>
        <w:t>安全事件处置</w:t>
      </w:r>
      <w:bookmarkEnd w:id="105"/>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安全事件处置要求包括：</w:t>
      </w:r>
    </w:p>
    <w:p>
      <w:pPr>
        <w:numPr>
          <w:ilvl w:val="0"/>
          <w:numId w:val="8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应建立网络安全事件监测手段，并及时向工业互联网安全主管部门报告所发现的安全弱点和可疑事件；</w:t>
      </w:r>
    </w:p>
    <w:p>
      <w:pPr>
        <w:pStyle w:val="234"/>
        <w:numPr>
          <w:ilvl w:val="0"/>
          <w:numId w:val="89"/>
        </w:numPr>
        <w:ind w:firstLineChars="0"/>
        <w:rPr>
          <w:rFonts w:ascii="Times New Roman" w:hAnsi="Times New Roman"/>
          <w:highlight w:val="none"/>
        </w:rPr>
      </w:pPr>
      <w:r>
        <w:rPr>
          <w:rFonts w:ascii="Times New Roman" w:hAnsi="Times New Roman"/>
          <w:highlight w:val="none"/>
        </w:rPr>
        <w:t>应制定安全事件报告和处置管理制度，明确安全事件的报告和处置流程；</w:t>
      </w:r>
    </w:p>
    <w:p>
      <w:pPr>
        <w:numPr>
          <w:ilvl w:val="0"/>
          <w:numId w:val="8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应在安全事件报告和响应处理过程中，收集证据，记录处理过程，分析和鉴定事件产生的原因，总结经验教训。</w:t>
      </w:r>
    </w:p>
    <w:p>
      <w:pPr>
        <w:pStyle w:val="101"/>
        <w:spacing w:before="156" w:after="156"/>
        <w:ind w:left="0"/>
        <w:rPr>
          <w:rFonts w:ascii="Times New Roman"/>
          <w:highlight w:val="none"/>
        </w:rPr>
      </w:pPr>
      <w:bookmarkStart w:id="107" w:name="_Toc494121256"/>
      <w:r>
        <w:rPr>
          <w:rFonts w:ascii="Times New Roman"/>
          <w:highlight w:val="none"/>
        </w:rPr>
        <w:t>应急</w:t>
      </w:r>
      <w:bookmarkEnd w:id="107"/>
      <w:r>
        <w:rPr>
          <w:rFonts w:ascii="Times New Roman"/>
          <w:highlight w:val="none"/>
        </w:rPr>
        <w:t>工作</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应急工作安全要求包括：</w:t>
      </w:r>
    </w:p>
    <w:p>
      <w:pPr>
        <w:numPr>
          <w:ilvl w:val="0"/>
          <w:numId w:val="9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应制定网络安全事件应急预案，包括应急处理流程、系统恢复流程等内容，并根据实际情况适时进行评估和修订，原则上每年进行至少一次评估和修订；</w:t>
      </w:r>
    </w:p>
    <w:p>
      <w:pPr>
        <w:numPr>
          <w:ilvl w:val="0"/>
          <w:numId w:val="90"/>
        </w:numPr>
        <w:adjustRightInd/>
        <w:spacing w:line="240" w:lineRule="auto"/>
        <w:rPr>
          <w:rFonts w:ascii="Times New Roman" w:hAnsi="Times New Roman"/>
          <w:kern w:val="0"/>
          <w:szCs w:val="20"/>
          <w:highlight w:val="none"/>
        </w:rPr>
      </w:pPr>
      <w:r>
        <w:rPr>
          <w:rFonts w:ascii="Times New Roman" w:hAnsi="Times New Roman"/>
          <w:highlight w:val="none"/>
        </w:rPr>
        <w:t>应定期开展网络安全事件应急预案宣贯培训，确保相关人员熟悉应急预案，并进行应急预案的演练。</w:t>
      </w:r>
    </w:p>
    <w:p>
      <w:pPr>
        <w:pStyle w:val="68"/>
        <w:spacing w:before="156" w:after="156"/>
        <w:rPr>
          <w:rFonts w:ascii="Times New Roman"/>
          <w:highlight w:val="none"/>
        </w:rPr>
      </w:pPr>
      <w:bookmarkStart w:id="108" w:name="_Toc102992493"/>
      <w:bookmarkStart w:id="109" w:name="_Toc102984568"/>
      <w:r>
        <w:rPr>
          <w:rFonts w:ascii="Times New Roman"/>
          <w:highlight w:val="none"/>
        </w:rPr>
        <w:t>物理和环境安全要求</w:t>
      </w:r>
      <w:bookmarkEnd w:id="108"/>
      <w:bookmarkEnd w:id="109"/>
    </w:p>
    <w:p>
      <w:pPr>
        <w:pStyle w:val="97"/>
        <w:spacing w:before="156" w:after="156"/>
        <w:ind w:left="0"/>
        <w:rPr>
          <w:rFonts w:ascii="Times New Roman"/>
          <w:highlight w:val="none"/>
        </w:rPr>
      </w:pPr>
      <w:bookmarkStart w:id="110" w:name="_Toc102984569"/>
      <w:r>
        <w:rPr>
          <w:rFonts w:ascii="Times New Roman"/>
          <w:highlight w:val="none"/>
        </w:rPr>
        <w:t>物理位置选择</w:t>
      </w:r>
      <w:bookmarkEnd w:id="110"/>
    </w:p>
    <w:p>
      <w:pPr>
        <w:pStyle w:val="177"/>
        <w:numPr>
          <w:ilvl w:val="0"/>
          <w:numId w:val="0"/>
        </w:numPr>
        <w:ind w:left="851" w:hanging="426"/>
        <w:rPr>
          <w:rFonts w:ascii="Times New Roman"/>
          <w:szCs w:val="21"/>
          <w:highlight w:val="none"/>
        </w:rPr>
      </w:pPr>
      <w:r>
        <w:rPr>
          <w:rFonts w:ascii="Times New Roman"/>
          <w:szCs w:val="21"/>
          <w:highlight w:val="none"/>
        </w:rPr>
        <w:t>物理位置选择安全要求包括：</w:t>
      </w:r>
    </w:p>
    <w:p>
      <w:pPr>
        <w:pStyle w:val="177"/>
        <w:numPr>
          <w:ilvl w:val="0"/>
          <w:numId w:val="91"/>
        </w:numPr>
        <w:rPr>
          <w:rFonts w:ascii="Times New Roman"/>
          <w:szCs w:val="21"/>
          <w:highlight w:val="none"/>
        </w:rPr>
      </w:pPr>
      <w:r>
        <w:rPr>
          <w:rFonts w:ascii="Times New Roman"/>
          <w:highlight w:val="none"/>
        </w:rPr>
        <w:t>机房场地及工业互联网平台相关设备放置场地应选择在具有防震、防风和防雨等能力的建筑内；</w:t>
      </w:r>
    </w:p>
    <w:p>
      <w:pPr>
        <w:pStyle w:val="177"/>
        <w:rPr>
          <w:rFonts w:ascii="Times New Roman"/>
          <w:highlight w:val="none"/>
        </w:rPr>
      </w:pPr>
      <w:r>
        <w:rPr>
          <w:rFonts w:ascii="Times New Roman"/>
          <w:highlight w:val="none"/>
        </w:rPr>
        <w:t>机房场地应避免设在建筑物的顶层或地下室，否则应加强防水和防潮措施。</w:t>
      </w:r>
    </w:p>
    <w:p>
      <w:pPr>
        <w:pStyle w:val="97"/>
        <w:spacing w:before="156" w:after="156"/>
        <w:ind w:left="0"/>
        <w:rPr>
          <w:rFonts w:ascii="Times New Roman"/>
          <w:highlight w:val="none"/>
        </w:rPr>
      </w:pPr>
      <w:bookmarkStart w:id="111" w:name="_Toc102984570"/>
      <w:r>
        <w:rPr>
          <w:rFonts w:ascii="Times New Roman"/>
          <w:highlight w:val="none"/>
        </w:rPr>
        <w:t>物理访问控制</w:t>
      </w:r>
      <w:bookmarkEnd w:id="111"/>
    </w:p>
    <w:p>
      <w:pPr>
        <w:adjustRightInd/>
        <w:spacing w:line="240" w:lineRule="auto"/>
        <w:rPr>
          <w:rFonts w:ascii="Times New Roman" w:hAnsi="Times New Roman"/>
          <w:szCs w:val="22"/>
          <w:highlight w:val="none"/>
        </w:rPr>
      </w:pPr>
      <w:r>
        <w:rPr>
          <w:rFonts w:ascii="Times New Roman" w:hAnsi="Times New Roman"/>
          <w:szCs w:val="22"/>
          <w:highlight w:val="none"/>
        </w:rPr>
        <w:t xml:space="preserve">    物理</w:t>
      </w:r>
      <w:r>
        <w:rPr>
          <w:rFonts w:ascii="Times New Roman" w:hAnsi="Times New Roman"/>
          <w:highlight w:val="none"/>
        </w:rPr>
        <w:t>访问控制安全要求包括：</w:t>
      </w:r>
    </w:p>
    <w:p>
      <w:pPr>
        <w:numPr>
          <w:ilvl w:val="0"/>
          <w:numId w:val="92"/>
        </w:numPr>
        <w:adjustRightInd/>
        <w:spacing w:line="240" w:lineRule="auto"/>
        <w:rPr>
          <w:rFonts w:ascii="Times New Roman" w:hAnsi="Times New Roman"/>
          <w:szCs w:val="22"/>
          <w:highlight w:val="none"/>
        </w:rPr>
      </w:pPr>
      <w:r>
        <w:rPr>
          <w:rFonts w:ascii="Times New Roman" w:hAnsi="Times New Roman"/>
          <w:szCs w:val="22"/>
          <w:highlight w:val="none"/>
        </w:rPr>
        <w:t>机房场地及工业互联网平台相关设备放置场地出入口应安排专人值守或配置电子门禁系统，控制、鉴别和记录进入的人员；</w:t>
      </w:r>
    </w:p>
    <w:p>
      <w:pPr>
        <w:numPr>
          <w:ilvl w:val="0"/>
          <w:numId w:val="92"/>
        </w:numPr>
        <w:adjustRightInd/>
        <w:spacing w:line="240" w:lineRule="auto"/>
        <w:rPr>
          <w:rFonts w:ascii="Times New Roman" w:hAnsi="Times New Roman"/>
          <w:szCs w:val="22"/>
          <w:highlight w:val="none"/>
        </w:rPr>
      </w:pPr>
      <w:r>
        <w:rPr>
          <w:rFonts w:ascii="Times New Roman" w:hAnsi="Times New Roman"/>
          <w:szCs w:val="22"/>
          <w:highlight w:val="none"/>
        </w:rPr>
        <w:t>重要服务器、数据库、工程师站等核心工业互联网软硬件所在区域或工业互联网平台宜采取视频监控等手段。</w:t>
      </w:r>
    </w:p>
    <w:p>
      <w:pPr>
        <w:pStyle w:val="97"/>
        <w:spacing w:before="156" w:after="156"/>
        <w:ind w:left="0"/>
        <w:rPr>
          <w:rFonts w:ascii="Times New Roman"/>
          <w:highlight w:val="none"/>
        </w:rPr>
      </w:pPr>
      <w:bookmarkStart w:id="112" w:name="_Toc102984571"/>
      <w:r>
        <w:rPr>
          <w:rFonts w:ascii="Times New Roman"/>
          <w:highlight w:val="none"/>
        </w:rPr>
        <w:t>防盗窃和防破坏</w:t>
      </w:r>
      <w:bookmarkEnd w:id="112"/>
    </w:p>
    <w:p>
      <w:pPr>
        <w:adjustRightInd/>
        <w:spacing w:line="240" w:lineRule="auto"/>
        <w:rPr>
          <w:rFonts w:ascii="Times New Roman" w:hAnsi="Times New Roman"/>
          <w:b/>
          <w:kern w:val="0"/>
          <w:szCs w:val="20"/>
          <w:highlight w:val="none"/>
        </w:rPr>
      </w:pPr>
      <w:r>
        <w:rPr>
          <w:rFonts w:ascii="Times New Roman" w:hAnsi="Times New Roman"/>
          <w:b/>
          <w:kern w:val="0"/>
          <w:szCs w:val="20"/>
          <w:highlight w:val="none"/>
        </w:rPr>
        <w:t xml:space="preserve">    </w:t>
      </w:r>
      <w:r>
        <w:rPr>
          <w:rFonts w:ascii="Times New Roman" w:hAnsi="Times New Roman"/>
          <w:highlight w:val="none"/>
        </w:rPr>
        <w:t>防盗窃和防破坏安全要求包括：</w:t>
      </w:r>
    </w:p>
    <w:p>
      <w:pPr>
        <w:numPr>
          <w:ilvl w:val="0"/>
          <w:numId w:val="93"/>
        </w:numPr>
        <w:tabs>
          <w:tab w:val="left" w:pos="851"/>
        </w:tabs>
        <w:adjustRightInd/>
        <w:spacing w:line="240" w:lineRule="auto"/>
        <w:ind w:left="839" w:hanging="419"/>
        <w:rPr>
          <w:rFonts w:ascii="Times New Roman" w:hAnsi="Times New Roman"/>
          <w:b/>
          <w:kern w:val="0"/>
          <w:szCs w:val="20"/>
          <w:highlight w:val="none"/>
        </w:rPr>
      </w:pPr>
      <w:r>
        <w:rPr>
          <w:rFonts w:ascii="Times New Roman" w:hAnsi="Times New Roman"/>
          <w:kern w:val="0"/>
          <w:szCs w:val="20"/>
          <w:highlight w:val="none"/>
        </w:rPr>
        <w:t>应将设备或主要部件进行固定，并设置明显的不易除去的标记；</w:t>
      </w:r>
    </w:p>
    <w:p>
      <w:pPr>
        <w:numPr>
          <w:ilvl w:val="0"/>
          <w:numId w:val="93"/>
        </w:numPr>
        <w:tabs>
          <w:tab w:val="left" w:pos="851"/>
        </w:tabs>
        <w:adjustRightInd/>
        <w:spacing w:line="240" w:lineRule="auto"/>
        <w:ind w:left="839" w:hanging="419"/>
        <w:rPr>
          <w:rFonts w:ascii="Times New Roman" w:hAnsi="Times New Roman"/>
          <w:kern w:val="0"/>
          <w:szCs w:val="20"/>
          <w:highlight w:val="none"/>
        </w:rPr>
      </w:pPr>
      <w:r>
        <w:rPr>
          <w:rFonts w:ascii="Times New Roman" w:hAnsi="Times New Roman"/>
          <w:kern w:val="0"/>
          <w:szCs w:val="20"/>
          <w:highlight w:val="none"/>
        </w:rPr>
        <w:t>应将通信线缆铺设在隐蔽安全处，可铺设在地下或管道中；</w:t>
      </w:r>
    </w:p>
    <w:p>
      <w:pPr>
        <w:numPr>
          <w:ilvl w:val="0"/>
          <w:numId w:val="93"/>
        </w:numPr>
        <w:tabs>
          <w:tab w:val="left" w:pos="851"/>
        </w:tabs>
        <w:adjustRightInd/>
        <w:spacing w:line="240" w:lineRule="auto"/>
        <w:ind w:left="839" w:hanging="419"/>
        <w:rPr>
          <w:rFonts w:ascii="Times New Roman" w:hAnsi="Times New Roman"/>
          <w:kern w:val="0"/>
          <w:szCs w:val="20"/>
          <w:highlight w:val="none"/>
        </w:rPr>
      </w:pPr>
      <w:r>
        <w:rPr>
          <w:rFonts w:ascii="Times New Roman" w:hAnsi="Times New Roman"/>
          <w:kern w:val="0"/>
          <w:szCs w:val="20"/>
          <w:highlight w:val="none"/>
        </w:rPr>
        <w:t>主机房或重要设备区域应安装必要的防盗报警设置。</w:t>
      </w:r>
    </w:p>
    <w:p>
      <w:pPr>
        <w:pStyle w:val="97"/>
        <w:spacing w:before="156" w:after="156"/>
        <w:ind w:left="0"/>
        <w:rPr>
          <w:rFonts w:ascii="Times New Roman"/>
          <w:highlight w:val="none"/>
        </w:rPr>
      </w:pPr>
      <w:bookmarkStart w:id="113" w:name="_Toc102984572"/>
      <w:r>
        <w:rPr>
          <w:rFonts w:ascii="Times New Roman"/>
          <w:highlight w:val="none"/>
        </w:rPr>
        <w:t>防雷击</w:t>
      </w:r>
      <w:bookmarkEnd w:id="113"/>
    </w:p>
    <w:p>
      <w:pPr>
        <w:pStyle w:val="177"/>
        <w:numPr>
          <w:ilvl w:val="0"/>
          <w:numId w:val="0"/>
        </w:numPr>
        <w:ind w:left="851" w:hanging="426"/>
        <w:rPr>
          <w:rFonts w:ascii="Times New Roman"/>
          <w:highlight w:val="none"/>
        </w:rPr>
      </w:pPr>
      <w:r>
        <w:rPr>
          <w:rFonts w:ascii="Times New Roman"/>
          <w:highlight w:val="none"/>
        </w:rPr>
        <w:t>防雷击安全要求包括：</w:t>
      </w:r>
    </w:p>
    <w:p>
      <w:pPr>
        <w:pStyle w:val="177"/>
        <w:numPr>
          <w:ilvl w:val="0"/>
          <w:numId w:val="0"/>
        </w:numPr>
        <w:ind w:left="851" w:hanging="426"/>
        <w:rPr>
          <w:rFonts w:ascii="Times New Roman"/>
          <w:highlight w:val="none"/>
        </w:rPr>
      </w:pPr>
      <w:r>
        <w:rPr>
          <w:rFonts w:ascii="Times New Roman"/>
          <w:highlight w:val="none"/>
        </w:rPr>
        <w:t>应将各类机柜、设施和设备等通过接地系统安全接地。</w:t>
      </w:r>
    </w:p>
    <w:p>
      <w:pPr>
        <w:pStyle w:val="97"/>
        <w:spacing w:before="156" w:after="156"/>
        <w:ind w:left="0"/>
        <w:rPr>
          <w:rFonts w:ascii="Times New Roman"/>
          <w:highlight w:val="none"/>
        </w:rPr>
      </w:pPr>
      <w:bookmarkStart w:id="114" w:name="_Toc102984573"/>
      <w:r>
        <w:rPr>
          <w:rFonts w:ascii="Times New Roman"/>
          <w:highlight w:val="none"/>
        </w:rPr>
        <w:t>防火</w:t>
      </w:r>
      <w:bookmarkEnd w:id="114"/>
    </w:p>
    <w:p>
      <w:pPr>
        <w:pStyle w:val="177"/>
        <w:numPr>
          <w:ilvl w:val="0"/>
          <w:numId w:val="0"/>
        </w:numPr>
        <w:ind w:left="851" w:hanging="426"/>
        <w:rPr>
          <w:rFonts w:ascii="Times New Roman"/>
          <w:highlight w:val="none"/>
        </w:rPr>
      </w:pPr>
      <w:r>
        <w:rPr>
          <w:rFonts w:ascii="Times New Roman"/>
          <w:highlight w:val="none"/>
        </w:rPr>
        <w:t>防火安全要求包括：</w:t>
      </w:r>
    </w:p>
    <w:p>
      <w:pPr>
        <w:pStyle w:val="177"/>
        <w:numPr>
          <w:ilvl w:val="0"/>
          <w:numId w:val="0"/>
        </w:numPr>
        <w:ind w:left="851" w:hanging="426"/>
        <w:rPr>
          <w:rFonts w:ascii="Times New Roman"/>
          <w:highlight w:val="none"/>
        </w:rPr>
      </w:pPr>
      <w:r>
        <w:rPr>
          <w:rFonts w:ascii="Times New Roman"/>
          <w:highlight w:val="none"/>
        </w:rPr>
        <w:t>机房及工业互联网平台相关设备放置场地应设置灭火设备和火灾自动报警系统。</w:t>
      </w:r>
    </w:p>
    <w:p>
      <w:pPr>
        <w:pStyle w:val="97"/>
        <w:spacing w:before="156" w:after="156"/>
        <w:ind w:left="0"/>
        <w:rPr>
          <w:rFonts w:ascii="Times New Roman"/>
          <w:highlight w:val="none"/>
        </w:rPr>
      </w:pPr>
      <w:bookmarkStart w:id="115" w:name="_Toc102984574"/>
      <w:r>
        <w:rPr>
          <w:rFonts w:ascii="Times New Roman"/>
          <w:highlight w:val="none"/>
        </w:rPr>
        <w:t>防水和防潮</w:t>
      </w:r>
      <w:bookmarkEnd w:id="115"/>
    </w:p>
    <w:p>
      <w:pPr>
        <w:adjustRightInd/>
        <w:spacing w:line="240" w:lineRule="auto"/>
        <w:ind w:firstLine="420" w:firstLineChars="200"/>
        <w:rPr>
          <w:rFonts w:ascii="Times New Roman" w:hAnsi="Times New Roman"/>
          <w:b/>
          <w:highlight w:val="none"/>
        </w:rPr>
      </w:pPr>
      <w:r>
        <w:rPr>
          <w:rFonts w:ascii="Times New Roman" w:hAnsi="Times New Roman"/>
          <w:kern w:val="0"/>
          <w:szCs w:val="20"/>
          <w:highlight w:val="none"/>
        </w:rPr>
        <w:t>防水和防潮安全要求包括：</w:t>
      </w:r>
    </w:p>
    <w:p>
      <w:pPr>
        <w:pStyle w:val="177"/>
        <w:numPr>
          <w:ilvl w:val="0"/>
          <w:numId w:val="94"/>
        </w:numPr>
        <w:rPr>
          <w:rFonts w:ascii="Times New Roman"/>
          <w:b/>
          <w:highlight w:val="none"/>
        </w:rPr>
      </w:pPr>
      <w:r>
        <w:rPr>
          <w:rFonts w:ascii="Times New Roman"/>
          <w:highlight w:val="none"/>
        </w:rPr>
        <w:t>应采取措施防止雨水通过机房或场地窗户、屋顶和墙壁渗透；</w:t>
      </w:r>
    </w:p>
    <w:p>
      <w:pPr>
        <w:numPr>
          <w:ilvl w:val="0"/>
          <w:numId w:val="93"/>
        </w:numPr>
        <w:tabs>
          <w:tab w:val="left" w:pos="851"/>
        </w:tabs>
        <w:adjustRightInd/>
        <w:spacing w:line="240" w:lineRule="auto"/>
        <w:ind w:left="839" w:hanging="419"/>
        <w:rPr>
          <w:rFonts w:ascii="Times New Roman" w:hAnsi="Times New Roman"/>
          <w:kern w:val="0"/>
          <w:szCs w:val="20"/>
          <w:highlight w:val="none"/>
        </w:rPr>
      </w:pPr>
      <w:r>
        <w:rPr>
          <w:rFonts w:ascii="Times New Roman" w:hAnsi="Times New Roman"/>
          <w:kern w:val="0"/>
          <w:szCs w:val="20"/>
          <w:highlight w:val="none"/>
        </w:rPr>
        <w:t>应采取措施防止机房内水蒸气结露和地下积水的转移与渗透。</w:t>
      </w:r>
    </w:p>
    <w:p>
      <w:pPr>
        <w:pStyle w:val="97"/>
        <w:spacing w:before="156" w:after="156"/>
        <w:ind w:left="0"/>
        <w:rPr>
          <w:rFonts w:ascii="Times New Roman"/>
          <w:highlight w:val="none"/>
        </w:rPr>
      </w:pPr>
      <w:bookmarkStart w:id="116" w:name="_Toc102984575"/>
      <w:r>
        <w:rPr>
          <w:rFonts w:ascii="Times New Roman"/>
          <w:highlight w:val="none"/>
        </w:rPr>
        <w:t>防静电</w:t>
      </w:r>
      <w:bookmarkEnd w:id="116"/>
    </w:p>
    <w:p>
      <w:pPr>
        <w:pStyle w:val="59"/>
        <w:ind w:firstLine="420"/>
        <w:rPr>
          <w:rFonts w:ascii="Times New Roman"/>
          <w:highlight w:val="none"/>
        </w:rPr>
      </w:pPr>
      <w:r>
        <w:rPr>
          <w:rFonts w:ascii="Times New Roman"/>
          <w:highlight w:val="none"/>
        </w:rPr>
        <w:t>防静电安全要求包括：</w:t>
      </w:r>
    </w:p>
    <w:p>
      <w:pPr>
        <w:pStyle w:val="59"/>
        <w:ind w:firstLine="420"/>
        <w:rPr>
          <w:rFonts w:ascii="Times New Roman"/>
          <w:highlight w:val="none"/>
        </w:rPr>
      </w:pPr>
      <w:r>
        <w:rPr>
          <w:rFonts w:ascii="Times New Roman"/>
          <w:highlight w:val="none"/>
        </w:rPr>
        <w:t>应采用防静电地板或地面并采用必要的接地防静电措施。</w:t>
      </w:r>
    </w:p>
    <w:p>
      <w:pPr>
        <w:pStyle w:val="97"/>
        <w:spacing w:before="156" w:after="156"/>
        <w:ind w:left="0"/>
        <w:rPr>
          <w:rFonts w:ascii="Times New Roman"/>
          <w:highlight w:val="none"/>
        </w:rPr>
      </w:pPr>
      <w:bookmarkStart w:id="117" w:name="_Toc102984576"/>
      <w:r>
        <w:rPr>
          <w:rFonts w:ascii="Times New Roman"/>
          <w:highlight w:val="none"/>
        </w:rPr>
        <w:t>温湿度控制</w:t>
      </w:r>
      <w:bookmarkEnd w:id="117"/>
    </w:p>
    <w:p>
      <w:pPr>
        <w:pStyle w:val="59"/>
        <w:ind w:firstLine="420"/>
        <w:rPr>
          <w:rFonts w:ascii="Times New Roman"/>
          <w:highlight w:val="none"/>
        </w:rPr>
      </w:pPr>
      <w:r>
        <w:rPr>
          <w:rFonts w:ascii="Times New Roman"/>
          <w:highlight w:val="none"/>
        </w:rPr>
        <w:t>温湿度控制要求包括：</w:t>
      </w:r>
    </w:p>
    <w:p>
      <w:pPr>
        <w:pStyle w:val="59"/>
        <w:ind w:left="420" w:leftChars="200" w:firstLine="0" w:firstLineChars="0"/>
        <w:rPr>
          <w:rFonts w:ascii="Times New Roman"/>
          <w:highlight w:val="none"/>
        </w:rPr>
      </w:pPr>
      <w:r>
        <w:rPr>
          <w:rFonts w:ascii="Times New Roman"/>
          <w:highlight w:val="none"/>
        </w:rPr>
        <w:t>应设置温湿度自动调节设施，使机房及工业互联网平台相关设备放置场地的温湿度的变化处于设备运行所允许的范围之内。</w:t>
      </w:r>
    </w:p>
    <w:p>
      <w:pPr>
        <w:pStyle w:val="97"/>
        <w:spacing w:before="156" w:after="156"/>
        <w:ind w:left="0"/>
        <w:rPr>
          <w:rFonts w:ascii="Times New Roman"/>
          <w:highlight w:val="none"/>
        </w:rPr>
      </w:pPr>
      <w:bookmarkStart w:id="118" w:name="_Toc102984577"/>
      <w:r>
        <w:rPr>
          <w:rFonts w:ascii="Times New Roman"/>
          <w:highlight w:val="none"/>
        </w:rPr>
        <w:t>电力供应</w:t>
      </w:r>
      <w:bookmarkEnd w:id="118"/>
    </w:p>
    <w:p>
      <w:pPr>
        <w:pStyle w:val="59"/>
        <w:ind w:firstLine="420" w:firstLineChars="0"/>
        <w:rPr>
          <w:rFonts w:ascii="Times New Roman"/>
          <w:highlight w:val="none"/>
        </w:rPr>
      </w:pPr>
      <w:r>
        <w:rPr>
          <w:rFonts w:ascii="Times New Roman"/>
          <w:highlight w:val="none"/>
        </w:rPr>
        <w:t>电力供应要求包括：</w:t>
      </w:r>
    </w:p>
    <w:p>
      <w:pPr>
        <w:pStyle w:val="177"/>
        <w:numPr>
          <w:ilvl w:val="0"/>
          <w:numId w:val="95"/>
        </w:numPr>
        <w:rPr>
          <w:rFonts w:ascii="Times New Roman"/>
          <w:highlight w:val="none"/>
        </w:rPr>
      </w:pPr>
      <w:r>
        <w:rPr>
          <w:rFonts w:ascii="Times New Roman"/>
          <w:highlight w:val="none"/>
        </w:rPr>
        <w:t>应在机房供电线路上配置稳压器和过电压防护设备；</w:t>
      </w:r>
    </w:p>
    <w:p>
      <w:pPr>
        <w:pStyle w:val="177"/>
        <w:numPr>
          <w:ilvl w:val="0"/>
          <w:numId w:val="95"/>
        </w:numPr>
        <w:rPr>
          <w:rFonts w:ascii="Times New Roman"/>
          <w:highlight w:val="none"/>
        </w:rPr>
      </w:pPr>
      <w:r>
        <w:rPr>
          <w:rFonts w:ascii="Times New Roman"/>
          <w:highlight w:val="none"/>
        </w:rPr>
        <w:t>应提供短期的备用电力供应，保障设备在断电情况下仍正常运行。</w:t>
      </w:r>
    </w:p>
    <w:p>
      <w:pPr>
        <w:pStyle w:val="97"/>
        <w:spacing w:before="156" w:after="156"/>
        <w:ind w:left="0"/>
        <w:rPr>
          <w:rFonts w:ascii="Times New Roman"/>
          <w:highlight w:val="none"/>
        </w:rPr>
      </w:pPr>
      <w:bookmarkStart w:id="119" w:name="_Toc102984578"/>
      <w:r>
        <w:rPr>
          <w:rFonts w:ascii="Times New Roman"/>
          <w:highlight w:val="none"/>
        </w:rPr>
        <w:t>电磁防护</w:t>
      </w:r>
      <w:bookmarkEnd w:id="119"/>
    </w:p>
    <w:p>
      <w:pPr>
        <w:pStyle w:val="59"/>
        <w:ind w:firstLine="420"/>
        <w:rPr>
          <w:rFonts w:ascii="Times New Roman"/>
          <w:highlight w:val="none"/>
        </w:rPr>
      </w:pPr>
      <w:r>
        <w:rPr>
          <w:rFonts w:ascii="Times New Roman"/>
          <w:highlight w:val="none"/>
        </w:rPr>
        <w:t>电磁防护要求包括：</w:t>
      </w:r>
    </w:p>
    <w:p>
      <w:pPr>
        <w:pStyle w:val="59"/>
        <w:ind w:firstLine="420"/>
        <w:rPr>
          <w:rFonts w:ascii="Times New Roman"/>
          <w:highlight w:val="none"/>
        </w:rPr>
      </w:pPr>
      <w:r>
        <w:rPr>
          <w:rFonts w:ascii="Times New Roman"/>
          <w:highlight w:val="none"/>
        </w:rPr>
        <w:t>电源线和通信线缆应隔离铺设,避免互相干扰。</w:t>
      </w:r>
    </w:p>
    <w:p>
      <w:pPr>
        <w:pStyle w:val="108"/>
        <w:spacing w:before="156" w:after="156"/>
        <w:rPr>
          <w:rFonts w:ascii="Times New Roman"/>
          <w:highlight w:val="none"/>
        </w:rPr>
      </w:pPr>
      <w:bookmarkStart w:id="120" w:name="_Toc104671595"/>
      <w:bookmarkStart w:id="121" w:name="_Toc102984579"/>
      <w:bookmarkStart w:id="122" w:name="_Toc102984308"/>
      <w:bookmarkStart w:id="123" w:name="_Toc102992494"/>
      <w:r>
        <w:rPr>
          <w:rFonts w:ascii="Times New Roman"/>
          <w:highlight w:val="none"/>
        </w:rPr>
        <w:t>增强级防护要求</w:t>
      </w:r>
      <w:bookmarkEnd w:id="120"/>
      <w:bookmarkEnd w:id="121"/>
      <w:bookmarkEnd w:id="122"/>
      <w:bookmarkEnd w:id="123"/>
    </w:p>
    <w:p>
      <w:pPr>
        <w:pStyle w:val="68"/>
        <w:spacing w:before="156" w:after="156"/>
        <w:rPr>
          <w:rFonts w:ascii="Times New Roman"/>
          <w:highlight w:val="none"/>
        </w:rPr>
      </w:pPr>
      <w:bookmarkStart w:id="124" w:name="_Toc102992495"/>
      <w:bookmarkStart w:id="125" w:name="_Toc102984580"/>
      <w:r>
        <w:rPr>
          <w:rFonts w:ascii="Times New Roman"/>
          <w:highlight w:val="none"/>
        </w:rPr>
        <w:t>接入层安全防护要求</w:t>
      </w:r>
      <w:bookmarkEnd w:id="124"/>
      <w:bookmarkEnd w:id="125"/>
    </w:p>
    <w:p>
      <w:pPr>
        <w:pStyle w:val="97"/>
        <w:spacing w:before="156" w:after="156"/>
        <w:ind w:left="0"/>
        <w:rPr>
          <w:rFonts w:ascii="Times New Roman"/>
          <w:highlight w:val="none"/>
        </w:rPr>
      </w:pPr>
      <w:bookmarkStart w:id="126" w:name="_Toc102984581"/>
      <w:r>
        <w:rPr>
          <w:rFonts w:ascii="Times New Roman"/>
          <w:highlight w:val="none"/>
        </w:rPr>
        <w:t>接入设备安全防护要求</w:t>
      </w:r>
      <w:bookmarkEnd w:id="126"/>
    </w:p>
    <w:p>
      <w:pPr>
        <w:pStyle w:val="101"/>
        <w:spacing w:before="156" w:after="156"/>
        <w:ind w:left="0"/>
        <w:rPr>
          <w:rFonts w:ascii="Times New Roman"/>
          <w:highlight w:val="none"/>
        </w:rPr>
      </w:pPr>
      <w:r>
        <w:rPr>
          <w:rFonts w:ascii="Times New Roman"/>
          <w:highlight w:val="none"/>
        </w:rPr>
        <w:t>口令账号安全</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同基本级要求。</w:t>
      </w:r>
    </w:p>
    <w:p>
      <w:pPr>
        <w:pStyle w:val="101"/>
        <w:spacing w:before="156" w:after="156"/>
        <w:ind w:left="0"/>
        <w:rPr>
          <w:rFonts w:ascii="Times New Roman"/>
          <w:highlight w:val="none"/>
        </w:rPr>
      </w:pPr>
      <w:r>
        <w:rPr>
          <w:rFonts w:ascii="Times New Roman"/>
          <w:highlight w:val="none"/>
        </w:rPr>
        <w:t>安全配置</w:t>
      </w:r>
    </w:p>
    <w:p>
      <w:pPr>
        <w:pStyle w:val="177"/>
        <w:numPr>
          <w:ilvl w:val="0"/>
          <w:numId w:val="0"/>
        </w:numPr>
        <w:ind w:left="851" w:hanging="426"/>
        <w:rPr>
          <w:rFonts w:ascii="Times New Roman"/>
          <w:highlight w:val="none"/>
        </w:rPr>
      </w:pPr>
      <w:bookmarkStart w:id="127" w:name="_Hlk103000438"/>
      <w:r>
        <w:rPr>
          <w:rFonts w:ascii="Times New Roman"/>
          <w:highlight w:val="none"/>
        </w:rPr>
        <w:t>除满足基本级的要求之外，还应符合以下要求：</w:t>
      </w:r>
    </w:p>
    <w:p>
      <w:pPr>
        <w:pStyle w:val="177"/>
        <w:numPr>
          <w:ilvl w:val="0"/>
          <w:numId w:val="96"/>
        </w:numPr>
        <w:rPr>
          <w:rFonts w:ascii="Times New Roman"/>
          <w:highlight w:val="none"/>
        </w:rPr>
      </w:pPr>
      <w:r>
        <w:rPr>
          <w:rFonts w:ascii="Times New Roman"/>
          <w:highlight w:val="none"/>
        </w:rPr>
        <w:t>应设置单</w:t>
      </w:r>
      <w:bookmarkEnd w:id="127"/>
      <w:r>
        <w:rPr>
          <w:rFonts w:ascii="Times New Roman"/>
          <w:highlight w:val="none"/>
        </w:rPr>
        <w:t>独的接入安全区域，同时分配已规划的地址空间。</w:t>
      </w:r>
    </w:p>
    <w:p>
      <w:pPr>
        <w:pStyle w:val="101"/>
        <w:spacing w:before="156" w:after="156"/>
        <w:ind w:left="0"/>
        <w:rPr>
          <w:rFonts w:ascii="Times New Roman"/>
          <w:highlight w:val="none"/>
        </w:rPr>
      </w:pPr>
      <w:r>
        <w:rPr>
          <w:rFonts w:ascii="Times New Roman"/>
          <w:highlight w:val="none"/>
        </w:rPr>
        <w:t>身份鉴别</w:t>
      </w:r>
    </w:p>
    <w:p>
      <w:pPr>
        <w:pStyle w:val="177"/>
        <w:numPr>
          <w:ilvl w:val="0"/>
          <w:numId w:val="0"/>
        </w:numPr>
        <w:ind w:left="851" w:hanging="426"/>
        <w:rPr>
          <w:rFonts w:ascii="Times New Roman"/>
          <w:highlight w:val="none"/>
        </w:rPr>
      </w:pPr>
      <w:bookmarkStart w:id="128" w:name="_Hlk103000417"/>
      <w:r>
        <w:rPr>
          <w:rFonts w:ascii="Times New Roman"/>
          <w:highlight w:val="none"/>
        </w:rPr>
        <w:t>除满足基本级防护要求之外，还应符合以下要求：</w:t>
      </w:r>
    </w:p>
    <w:p>
      <w:pPr>
        <w:pStyle w:val="177"/>
        <w:numPr>
          <w:ilvl w:val="0"/>
          <w:numId w:val="97"/>
        </w:numPr>
        <w:rPr>
          <w:rFonts w:ascii="Times New Roman"/>
          <w:highlight w:val="none"/>
        </w:rPr>
      </w:pPr>
      <w:r>
        <w:rPr>
          <w:rFonts w:ascii="Times New Roman"/>
          <w:highlight w:val="none"/>
        </w:rPr>
        <w:t>在</w:t>
      </w:r>
      <w:bookmarkEnd w:id="128"/>
      <w:r>
        <w:rPr>
          <w:rFonts w:ascii="Times New Roman"/>
          <w:highlight w:val="none"/>
        </w:rPr>
        <w:t>关键边缘接入设备应提供符合国家密码管理法律法规要求的通信加密和签名验签；</w:t>
      </w:r>
    </w:p>
    <w:p>
      <w:pPr>
        <w:pStyle w:val="177"/>
        <w:numPr>
          <w:ilvl w:val="0"/>
          <w:numId w:val="97"/>
        </w:numPr>
        <w:rPr>
          <w:rFonts w:ascii="Times New Roman"/>
          <w:highlight w:val="none"/>
        </w:rPr>
      </w:pPr>
      <w:r>
        <w:rPr>
          <w:rFonts w:ascii="Times New Roman"/>
          <w:highlight w:val="none"/>
        </w:rPr>
        <w:t>采用IP-MAC绑定、802.1x、证书、标识码等技术对接入的PC机、便携机、智能终端等设备进行注册认证。</w:t>
      </w:r>
    </w:p>
    <w:p>
      <w:pPr>
        <w:pStyle w:val="101"/>
        <w:spacing w:before="156" w:after="156"/>
        <w:ind w:left="0"/>
        <w:rPr>
          <w:rFonts w:ascii="Times New Roman"/>
          <w:highlight w:val="none"/>
        </w:rPr>
      </w:pPr>
      <w:r>
        <w:rPr>
          <w:rFonts w:ascii="Times New Roman"/>
          <w:highlight w:val="none"/>
        </w:rPr>
        <w:t>访问控制</w:t>
      </w:r>
    </w:p>
    <w:p>
      <w:pPr>
        <w:pStyle w:val="177"/>
        <w:numPr>
          <w:ilvl w:val="0"/>
          <w:numId w:val="0"/>
        </w:numPr>
        <w:ind w:left="851" w:hanging="426"/>
        <w:rPr>
          <w:rFonts w:ascii="Times New Roman"/>
          <w:highlight w:val="none"/>
        </w:rPr>
      </w:pPr>
      <w:r>
        <w:rPr>
          <w:rFonts w:ascii="Times New Roman"/>
          <w:highlight w:val="none"/>
        </w:rPr>
        <w:t>除满足基本级防护要求之外，还应符合以下要求：</w:t>
      </w:r>
    </w:p>
    <w:p>
      <w:pPr>
        <w:pStyle w:val="177"/>
        <w:numPr>
          <w:ilvl w:val="0"/>
          <w:numId w:val="98"/>
        </w:numPr>
        <w:rPr>
          <w:rFonts w:ascii="Times New Roman"/>
          <w:highlight w:val="none"/>
        </w:rPr>
      </w:pPr>
      <w:r>
        <w:rPr>
          <w:rFonts w:ascii="Times New Roman"/>
          <w:highlight w:val="none"/>
        </w:rPr>
        <w:t>避免接入设备与重要信息系统直接互连，可通过信息交换系统或者共享系统来进行数据的交互；</w:t>
      </w:r>
    </w:p>
    <w:p>
      <w:pPr>
        <w:pStyle w:val="177"/>
        <w:rPr>
          <w:rFonts w:ascii="Times New Roman"/>
          <w:highlight w:val="none"/>
        </w:rPr>
      </w:pPr>
      <w:r>
        <w:rPr>
          <w:rFonts w:ascii="Times New Roman"/>
          <w:highlight w:val="none"/>
        </w:rPr>
        <w:t>能够对非授权设备的接入行为进行告警和阻断。</w:t>
      </w:r>
    </w:p>
    <w:p>
      <w:pPr>
        <w:pStyle w:val="101"/>
        <w:spacing w:before="156" w:after="156"/>
        <w:ind w:left="0"/>
        <w:rPr>
          <w:rFonts w:ascii="Times New Roman"/>
          <w:highlight w:val="none"/>
        </w:rPr>
      </w:pPr>
      <w:r>
        <w:rPr>
          <w:rFonts w:ascii="Times New Roman"/>
          <w:highlight w:val="none"/>
        </w:rPr>
        <w:t>安全审计</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同基本级要求。</w:t>
      </w:r>
    </w:p>
    <w:p>
      <w:pPr>
        <w:pStyle w:val="101"/>
        <w:spacing w:before="156" w:after="156"/>
        <w:ind w:left="0"/>
        <w:rPr>
          <w:rFonts w:ascii="Times New Roman"/>
          <w:highlight w:val="none"/>
        </w:rPr>
      </w:pPr>
      <w:r>
        <w:rPr>
          <w:rFonts w:ascii="Times New Roman"/>
          <w:highlight w:val="none"/>
        </w:rPr>
        <w:t>入侵防范</w:t>
      </w:r>
    </w:p>
    <w:p>
      <w:pPr>
        <w:pStyle w:val="177"/>
        <w:numPr>
          <w:ilvl w:val="0"/>
          <w:numId w:val="0"/>
        </w:numPr>
        <w:ind w:left="851" w:hanging="426"/>
        <w:rPr>
          <w:rFonts w:ascii="Times New Roman"/>
          <w:bCs/>
          <w:highlight w:val="none"/>
        </w:rPr>
      </w:pPr>
      <w:r>
        <w:rPr>
          <w:rFonts w:ascii="Times New Roman"/>
          <w:bCs/>
          <w:highlight w:val="none"/>
        </w:rPr>
        <w:t>除满足基本级防护要求之外，还应符合以下要求：</w:t>
      </w:r>
    </w:p>
    <w:p>
      <w:pPr>
        <w:pStyle w:val="177"/>
        <w:numPr>
          <w:ilvl w:val="0"/>
          <w:numId w:val="0"/>
        </w:numPr>
        <w:ind w:left="851" w:hanging="426"/>
        <w:rPr>
          <w:rFonts w:ascii="Times New Roman"/>
          <w:highlight w:val="none"/>
        </w:rPr>
      </w:pPr>
      <w:r>
        <w:rPr>
          <w:rFonts w:ascii="Times New Roman"/>
          <w:highlight w:val="none"/>
        </w:rPr>
        <w:t>能够对未知威胁进行分析和防范。</w:t>
      </w:r>
    </w:p>
    <w:p>
      <w:pPr>
        <w:pStyle w:val="97"/>
        <w:spacing w:before="156" w:after="156"/>
        <w:ind w:left="0"/>
        <w:rPr>
          <w:rFonts w:ascii="Times New Roman"/>
          <w:highlight w:val="none"/>
        </w:rPr>
      </w:pPr>
      <w:bookmarkStart w:id="129" w:name="_Toc102984582"/>
      <w:r>
        <w:rPr>
          <w:rFonts w:ascii="Times New Roman"/>
          <w:highlight w:val="none"/>
        </w:rPr>
        <w:t>接入层网络安全防护要求</w:t>
      </w:r>
      <w:bookmarkEnd w:id="129"/>
    </w:p>
    <w:p>
      <w:pPr>
        <w:pStyle w:val="101"/>
        <w:spacing w:before="156" w:after="156"/>
        <w:ind w:left="0"/>
        <w:rPr>
          <w:rFonts w:ascii="Times New Roman"/>
          <w:highlight w:val="none"/>
        </w:rPr>
      </w:pPr>
      <w:r>
        <w:rPr>
          <w:rFonts w:ascii="Times New Roman"/>
          <w:highlight w:val="none"/>
        </w:rPr>
        <w:t>访问控制</w:t>
      </w:r>
    </w:p>
    <w:p>
      <w:pPr>
        <w:pStyle w:val="177"/>
        <w:numPr>
          <w:ilvl w:val="0"/>
          <w:numId w:val="0"/>
        </w:numPr>
        <w:ind w:left="851" w:hanging="426"/>
        <w:rPr>
          <w:rFonts w:ascii="Times New Roman"/>
          <w:highlight w:val="none"/>
        </w:rPr>
      </w:pPr>
      <w:r>
        <w:rPr>
          <w:rFonts w:ascii="Times New Roman"/>
          <w:highlight w:val="none"/>
        </w:rPr>
        <w:t>除满足基本级防护要求之外，还应符合以下要求：</w:t>
      </w:r>
    </w:p>
    <w:p>
      <w:pPr>
        <w:pStyle w:val="177"/>
        <w:numPr>
          <w:ilvl w:val="0"/>
          <w:numId w:val="99"/>
        </w:numPr>
        <w:rPr>
          <w:rFonts w:ascii="Times New Roman"/>
          <w:highlight w:val="none"/>
        </w:rPr>
      </w:pPr>
      <w:r>
        <w:rPr>
          <w:rFonts w:ascii="Times New Roman"/>
          <w:highlight w:val="none"/>
        </w:rPr>
        <w:t>终端接入后，限制该终端的访问权限，并限制其他设备与该终端的非授权通信；</w:t>
      </w:r>
    </w:p>
    <w:p>
      <w:pPr>
        <w:pStyle w:val="177"/>
        <w:numPr>
          <w:ilvl w:val="0"/>
          <w:numId w:val="99"/>
        </w:numPr>
        <w:rPr>
          <w:rFonts w:ascii="Times New Roman"/>
          <w:highlight w:val="none"/>
        </w:rPr>
      </w:pPr>
      <w:r>
        <w:rPr>
          <w:rFonts w:ascii="Times New Roman"/>
          <w:highlight w:val="none"/>
        </w:rPr>
        <w:t>对于有线和无线接入，确保通过受控的边界防护设备或者其上的指定端口接入网络；</w:t>
      </w:r>
    </w:p>
    <w:p>
      <w:pPr>
        <w:pStyle w:val="177"/>
        <w:rPr>
          <w:rFonts w:ascii="Times New Roman"/>
          <w:highlight w:val="none"/>
        </w:rPr>
      </w:pPr>
      <w:r>
        <w:rPr>
          <w:rFonts w:ascii="Times New Roman"/>
          <w:highlight w:val="none"/>
        </w:rPr>
        <w:t>对接入网络数据进行深度包检测；</w:t>
      </w:r>
    </w:p>
    <w:p>
      <w:pPr>
        <w:pStyle w:val="177"/>
        <w:rPr>
          <w:rFonts w:ascii="Times New Roman"/>
          <w:highlight w:val="none"/>
        </w:rPr>
      </w:pPr>
      <w:r>
        <w:rPr>
          <w:rFonts w:ascii="Times New Roman"/>
          <w:highlight w:val="none"/>
        </w:rPr>
        <w:t>采用白名单控制方式，只允许合法设备接入网络。</w:t>
      </w:r>
    </w:p>
    <w:p>
      <w:pPr>
        <w:pStyle w:val="101"/>
        <w:spacing w:before="156" w:after="156"/>
        <w:ind w:left="0"/>
        <w:rPr>
          <w:rFonts w:ascii="Times New Roman"/>
          <w:highlight w:val="none"/>
        </w:rPr>
      </w:pPr>
      <w:r>
        <w:rPr>
          <w:rFonts w:ascii="Times New Roman"/>
          <w:highlight w:val="none"/>
        </w:rPr>
        <w:t>安全审计</w:t>
      </w:r>
    </w:p>
    <w:p>
      <w:pPr>
        <w:pStyle w:val="177"/>
        <w:numPr>
          <w:ilvl w:val="0"/>
          <w:numId w:val="0"/>
        </w:numPr>
        <w:ind w:left="851" w:hanging="426"/>
        <w:rPr>
          <w:rFonts w:ascii="Times New Roman"/>
          <w:highlight w:val="none"/>
        </w:rPr>
      </w:pPr>
      <w:r>
        <w:rPr>
          <w:rFonts w:ascii="Times New Roman"/>
          <w:highlight w:val="none"/>
        </w:rPr>
        <w:t>除满足基本级防护要求之外，还应符合以下要求：</w:t>
      </w:r>
    </w:p>
    <w:p>
      <w:pPr>
        <w:pStyle w:val="177"/>
        <w:numPr>
          <w:ilvl w:val="0"/>
          <w:numId w:val="0"/>
        </w:numPr>
        <w:ind w:left="851" w:hanging="426"/>
        <w:rPr>
          <w:rFonts w:ascii="Times New Roman"/>
          <w:highlight w:val="none"/>
        </w:rPr>
      </w:pPr>
      <w:r>
        <w:rPr>
          <w:rFonts w:ascii="Times New Roman"/>
          <w:highlight w:val="none"/>
        </w:rPr>
        <w:t>审计记录产生时的时间应由系统范围内唯一确定的时钟产生，以确保审计分析的正确性</w:t>
      </w:r>
    </w:p>
    <w:p>
      <w:pPr>
        <w:pStyle w:val="101"/>
        <w:spacing w:before="156" w:after="156"/>
        <w:ind w:left="0"/>
        <w:rPr>
          <w:rFonts w:ascii="Times New Roman"/>
          <w:highlight w:val="none"/>
        </w:rPr>
      </w:pPr>
      <w:r>
        <w:rPr>
          <w:rFonts w:ascii="Times New Roman"/>
          <w:highlight w:val="none"/>
        </w:rPr>
        <w:t>通信安全</w:t>
      </w:r>
    </w:p>
    <w:p>
      <w:pPr>
        <w:pStyle w:val="177"/>
        <w:numPr>
          <w:ilvl w:val="0"/>
          <w:numId w:val="0"/>
        </w:numPr>
        <w:ind w:left="851" w:hanging="426"/>
        <w:rPr>
          <w:rFonts w:ascii="Times New Roman"/>
          <w:highlight w:val="none"/>
        </w:rPr>
      </w:pPr>
      <w:r>
        <w:rPr>
          <w:rFonts w:ascii="Times New Roman"/>
          <w:highlight w:val="none"/>
        </w:rPr>
        <w:t>除满足基本级防护要求之外，还应符合以下要求：</w:t>
      </w:r>
    </w:p>
    <w:p>
      <w:pPr>
        <w:pStyle w:val="177"/>
        <w:numPr>
          <w:ilvl w:val="0"/>
          <w:numId w:val="100"/>
        </w:numPr>
        <w:rPr>
          <w:rFonts w:ascii="Times New Roman"/>
          <w:highlight w:val="none"/>
        </w:rPr>
      </w:pPr>
      <w:r>
        <w:rPr>
          <w:rFonts w:ascii="Times New Roman"/>
          <w:highlight w:val="none"/>
        </w:rPr>
        <w:t>在一个非活动时间周期后，可以通过自动方式或者手动方式终止用户远程连接；</w:t>
      </w:r>
    </w:p>
    <w:p>
      <w:pPr>
        <w:pStyle w:val="177"/>
        <w:numPr>
          <w:ilvl w:val="0"/>
          <w:numId w:val="100"/>
        </w:numPr>
        <w:rPr>
          <w:rFonts w:ascii="Times New Roman"/>
          <w:highlight w:val="none"/>
        </w:rPr>
      </w:pPr>
      <w:r>
        <w:rPr>
          <w:rFonts w:ascii="Times New Roman"/>
          <w:highlight w:val="none"/>
        </w:rPr>
        <w:t>应保证通信过程中使用的互联互通协议的可信性</w:t>
      </w:r>
    </w:p>
    <w:p>
      <w:pPr>
        <w:pStyle w:val="101"/>
        <w:spacing w:before="156" w:after="156"/>
        <w:ind w:left="0"/>
        <w:rPr>
          <w:rFonts w:ascii="Times New Roman"/>
          <w:highlight w:val="none"/>
        </w:rPr>
      </w:pPr>
      <w:r>
        <w:rPr>
          <w:rFonts w:ascii="Times New Roman"/>
          <w:highlight w:val="none"/>
        </w:rPr>
        <w:t>恶意代码防范</w:t>
      </w:r>
    </w:p>
    <w:p>
      <w:pPr>
        <w:pStyle w:val="59"/>
        <w:ind w:firstLine="420"/>
        <w:rPr>
          <w:rFonts w:ascii="Times New Roman"/>
          <w:highlight w:val="none"/>
        </w:rPr>
      </w:pPr>
      <w:r>
        <w:rPr>
          <w:rFonts w:ascii="Times New Roman"/>
          <w:highlight w:val="none"/>
        </w:rPr>
        <w:t>同基本级要求。</w:t>
      </w:r>
    </w:p>
    <w:p>
      <w:pPr>
        <w:pStyle w:val="101"/>
        <w:spacing w:before="156" w:after="156"/>
        <w:ind w:left="0"/>
        <w:rPr>
          <w:rFonts w:ascii="Times New Roman"/>
          <w:highlight w:val="none"/>
        </w:rPr>
      </w:pPr>
      <w:r>
        <w:rPr>
          <w:rFonts w:ascii="Times New Roman"/>
          <w:highlight w:val="none"/>
        </w:rPr>
        <w:t>入侵防范</w:t>
      </w:r>
    </w:p>
    <w:p>
      <w:pPr>
        <w:pStyle w:val="59"/>
        <w:ind w:firstLine="420"/>
        <w:rPr>
          <w:rFonts w:ascii="Times New Roman"/>
          <w:highlight w:val="none"/>
        </w:rPr>
      </w:pPr>
      <w:r>
        <w:rPr>
          <w:rFonts w:ascii="Times New Roman"/>
          <w:highlight w:val="none"/>
        </w:rPr>
        <w:t>同基本级要求。</w:t>
      </w:r>
    </w:p>
    <w:p>
      <w:pPr>
        <w:pStyle w:val="68"/>
        <w:spacing w:before="156" w:after="156"/>
        <w:rPr>
          <w:rFonts w:ascii="Times New Roman"/>
          <w:highlight w:val="none"/>
        </w:rPr>
      </w:pPr>
      <w:bookmarkStart w:id="130" w:name="_Toc102992496"/>
      <w:bookmarkStart w:id="131" w:name="_Toc102984583"/>
      <w:r>
        <w:rPr>
          <w:rFonts w:ascii="Times New Roman"/>
          <w:highlight w:val="none"/>
        </w:rPr>
        <w:t>基础设施层安全防护要求</w:t>
      </w:r>
      <w:bookmarkEnd w:id="130"/>
      <w:bookmarkEnd w:id="131"/>
    </w:p>
    <w:p>
      <w:pPr>
        <w:pStyle w:val="97"/>
        <w:spacing w:before="156" w:after="156"/>
        <w:ind w:left="0"/>
        <w:rPr>
          <w:rFonts w:ascii="Times New Roman"/>
          <w:highlight w:val="none"/>
        </w:rPr>
      </w:pPr>
      <w:bookmarkStart w:id="132" w:name="_Toc102984584"/>
      <w:r>
        <w:rPr>
          <w:rFonts w:ascii="Times New Roman"/>
          <w:highlight w:val="none"/>
        </w:rPr>
        <w:t>计算环境安全防护要求</w:t>
      </w:r>
      <w:bookmarkEnd w:id="132"/>
    </w:p>
    <w:p>
      <w:pPr>
        <w:pStyle w:val="101"/>
        <w:spacing w:before="156" w:after="156"/>
        <w:ind w:left="0"/>
        <w:rPr>
          <w:rFonts w:ascii="Times New Roman"/>
          <w:highlight w:val="none"/>
        </w:rPr>
      </w:pPr>
      <w:r>
        <w:rPr>
          <w:rFonts w:ascii="Times New Roman"/>
          <w:highlight w:val="none"/>
        </w:rPr>
        <w:t>身份鉴别</w:t>
      </w:r>
    </w:p>
    <w:p>
      <w:pPr>
        <w:tabs>
          <w:tab w:val="left" w:pos="840"/>
        </w:tabs>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tabs>
          <w:tab w:val="left" w:pos="840"/>
        </w:tabs>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当对服务器进行远程管理时，应采取加密措施，防止鉴别信息在网络传输过程中被窃取。</w:t>
      </w:r>
    </w:p>
    <w:p>
      <w:pPr>
        <w:pStyle w:val="101"/>
        <w:spacing w:before="156" w:after="156"/>
        <w:ind w:left="0"/>
        <w:rPr>
          <w:rFonts w:ascii="Times New Roman"/>
          <w:highlight w:val="none"/>
        </w:rPr>
      </w:pPr>
      <w:r>
        <w:rPr>
          <w:rFonts w:ascii="Times New Roman"/>
          <w:highlight w:val="none"/>
        </w:rPr>
        <w:t>访问控制</w:t>
      </w:r>
    </w:p>
    <w:p>
      <w:pPr>
        <w:pStyle w:val="177"/>
        <w:numPr>
          <w:ilvl w:val="0"/>
          <w:numId w:val="0"/>
        </w:numPr>
        <w:ind w:left="851" w:hanging="426"/>
        <w:rPr>
          <w:rFonts w:ascii="Times New Roman"/>
          <w:highlight w:val="none"/>
        </w:rPr>
      </w:pPr>
      <w:r>
        <w:rPr>
          <w:rFonts w:ascii="Times New Roman"/>
          <w:highlight w:val="none"/>
        </w:rPr>
        <w:t>除满足基本级防护要求之外，还应符合以下要求：</w:t>
      </w:r>
    </w:p>
    <w:p>
      <w:pPr>
        <w:pStyle w:val="177"/>
        <w:numPr>
          <w:ilvl w:val="0"/>
          <w:numId w:val="101"/>
        </w:numPr>
        <w:rPr>
          <w:rFonts w:ascii="Times New Roman"/>
          <w:highlight w:val="none"/>
        </w:rPr>
      </w:pPr>
      <w:r>
        <w:rPr>
          <w:rFonts w:ascii="Times New Roman"/>
          <w:highlight w:val="none"/>
        </w:rPr>
        <w:t>系统设备应根据业务需求和安全级别设置用户访问控制策略，用户权限应执行分类分级、权限最小化、权限执行一致性等原则；</w:t>
      </w:r>
    </w:p>
    <w:p>
      <w:pPr>
        <w:pStyle w:val="177"/>
        <w:rPr>
          <w:rFonts w:ascii="Times New Roman"/>
          <w:highlight w:val="none"/>
        </w:rPr>
      </w:pPr>
      <w:r>
        <w:rPr>
          <w:rFonts w:ascii="Times New Roman"/>
          <w:highlight w:val="none"/>
        </w:rPr>
        <w:t>应建立数据安全评估相关制度规范，定期开展数据安全评估，评估的内容包括但不限于数据管理能力、数据安全能力、数据安全防护能力等情况，分析数据被未经授权的访问、控制、处理或数据被泄露、窃取、篡改、滥用等风险，并形成相应的数据安全评估报告。</w:t>
      </w:r>
    </w:p>
    <w:p>
      <w:pPr>
        <w:pStyle w:val="101"/>
        <w:spacing w:before="156" w:after="156"/>
        <w:ind w:left="0"/>
        <w:rPr>
          <w:rFonts w:ascii="Times New Roman"/>
          <w:highlight w:val="none"/>
        </w:rPr>
      </w:pPr>
      <w:r>
        <w:rPr>
          <w:rFonts w:ascii="Times New Roman"/>
          <w:highlight w:val="none"/>
        </w:rPr>
        <w:t>安全审计</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0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应能够根据记录数据进行分析，并生成审计报表；</w:t>
      </w:r>
    </w:p>
    <w:p>
      <w:pPr>
        <w:numPr>
          <w:ilvl w:val="0"/>
          <w:numId w:val="102"/>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应保护审计进程，避免受到未预期的中断。</w:t>
      </w:r>
    </w:p>
    <w:p>
      <w:pPr>
        <w:pStyle w:val="101"/>
        <w:spacing w:before="156" w:after="156"/>
        <w:ind w:left="0"/>
        <w:rPr>
          <w:rFonts w:ascii="Times New Roman"/>
          <w:highlight w:val="none"/>
        </w:rPr>
      </w:pPr>
      <w:r>
        <w:rPr>
          <w:rFonts w:ascii="Times New Roman"/>
          <w:highlight w:val="none"/>
        </w:rPr>
        <w:t>资源控制</w:t>
      </w:r>
    </w:p>
    <w:p>
      <w:pPr>
        <w:tabs>
          <w:tab w:val="left" w:pos="840"/>
        </w:tabs>
        <w:adjustRightInd/>
        <w:spacing w:line="240" w:lineRule="auto"/>
        <w:ind w:left="424" w:leftChars="200" w:hanging="4" w:hangingChars="2"/>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tabs>
          <w:tab w:val="left" w:pos="840"/>
        </w:tabs>
        <w:adjustRightInd/>
        <w:spacing w:line="240" w:lineRule="auto"/>
        <w:ind w:left="424" w:leftChars="200" w:hanging="4" w:hangingChars="2"/>
        <w:rPr>
          <w:rFonts w:ascii="Times New Roman" w:hAnsi="Times New Roman"/>
          <w:kern w:val="0"/>
          <w:szCs w:val="20"/>
          <w:highlight w:val="none"/>
        </w:rPr>
      </w:pPr>
      <w:r>
        <w:rPr>
          <w:rFonts w:ascii="Times New Roman" w:hAnsi="Times New Roman"/>
          <w:kern w:val="0"/>
          <w:szCs w:val="20"/>
          <w:highlight w:val="none"/>
        </w:rPr>
        <w:t>应对重要服务器进行性能监测，包括服务器的CPU、硬盘、内存、网络等资源的使用情况，发现异常情况提供告警，并进行相应处置。</w:t>
      </w:r>
    </w:p>
    <w:p>
      <w:pPr>
        <w:pStyle w:val="101"/>
        <w:spacing w:before="156" w:after="156"/>
        <w:ind w:left="0"/>
        <w:rPr>
          <w:rFonts w:ascii="Times New Roman"/>
          <w:highlight w:val="none"/>
        </w:rPr>
      </w:pPr>
      <w:r>
        <w:rPr>
          <w:rFonts w:ascii="Times New Roman"/>
          <w:highlight w:val="none"/>
        </w:rPr>
        <w:t>恶意代码防范</w:t>
      </w:r>
    </w:p>
    <w:p>
      <w:pPr>
        <w:tabs>
          <w:tab w:val="left" w:pos="840"/>
        </w:tabs>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tabs>
          <w:tab w:val="left" w:pos="840"/>
        </w:tabs>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应支持对防恶意代码的统一管理。</w:t>
      </w:r>
    </w:p>
    <w:p>
      <w:pPr>
        <w:pStyle w:val="101"/>
        <w:spacing w:before="156" w:after="156"/>
        <w:ind w:left="0"/>
        <w:rPr>
          <w:rFonts w:ascii="Times New Roman"/>
          <w:highlight w:val="none"/>
        </w:rPr>
      </w:pPr>
      <w:r>
        <w:rPr>
          <w:rFonts w:ascii="Times New Roman"/>
          <w:highlight w:val="none"/>
        </w:rPr>
        <w:t>入侵防范</w:t>
      </w:r>
    </w:p>
    <w:p>
      <w:pPr>
        <w:pStyle w:val="177"/>
        <w:numPr>
          <w:ilvl w:val="0"/>
          <w:numId w:val="0"/>
        </w:numPr>
        <w:ind w:left="851" w:hanging="426"/>
        <w:rPr>
          <w:rFonts w:ascii="Times New Roman"/>
          <w:highlight w:val="none"/>
        </w:rPr>
      </w:pPr>
      <w:r>
        <w:rPr>
          <w:rFonts w:ascii="Times New Roman"/>
          <w:highlight w:val="none"/>
        </w:rPr>
        <w:t>除满足基本级防护要求之外，还应符合以下要求：</w:t>
      </w:r>
    </w:p>
    <w:p>
      <w:pPr>
        <w:pStyle w:val="177"/>
        <w:numPr>
          <w:ilvl w:val="0"/>
          <w:numId w:val="0"/>
        </w:numPr>
        <w:ind w:left="851" w:hanging="426"/>
        <w:rPr>
          <w:rFonts w:ascii="Times New Roman"/>
          <w:highlight w:val="none"/>
        </w:rPr>
      </w:pPr>
      <w:r>
        <w:rPr>
          <w:rFonts w:ascii="Times New Roman"/>
          <w:highlight w:val="none"/>
        </w:rPr>
        <w:t>应能够对重要程序的完整性进行检测，并在检测到完整性受到破坏后具有恢复的措施。</w:t>
      </w:r>
    </w:p>
    <w:p>
      <w:pPr>
        <w:pStyle w:val="97"/>
        <w:spacing w:before="156" w:after="156"/>
        <w:ind w:left="0"/>
        <w:rPr>
          <w:rFonts w:ascii="Times New Roman"/>
          <w:highlight w:val="none"/>
        </w:rPr>
      </w:pPr>
      <w:bookmarkStart w:id="133" w:name="_Toc102984585"/>
      <w:r>
        <w:rPr>
          <w:rFonts w:ascii="Times New Roman"/>
          <w:highlight w:val="none"/>
        </w:rPr>
        <w:t>网络安全防护要求</w:t>
      </w:r>
      <w:bookmarkEnd w:id="133"/>
    </w:p>
    <w:p>
      <w:pPr>
        <w:pStyle w:val="101"/>
        <w:spacing w:before="156" w:after="156"/>
        <w:ind w:left="0"/>
        <w:rPr>
          <w:rFonts w:ascii="Times New Roman"/>
          <w:highlight w:val="none"/>
        </w:rPr>
      </w:pPr>
      <w:r>
        <w:rPr>
          <w:rFonts w:ascii="Times New Roman"/>
          <w:highlight w:val="none"/>
        </w:rPr>
        <w:t>网络拓扑结构安全</w:t>
      </w:r>
    </w:p>
    <w:p>
      <w:pPr>
        <w:pStyle w:val="177"/>
        <w:numPr>
          <w:ilvl w:val="0"/>
          <w:numId w:val="0"/>
        </w:numPr>
        <w:ind w:left="426" w:hanging="1"/>
        <w:rPr>
          <w:rFonts w:ascii="Times New Roman"/>
          <w:highlight w:val="none"/>
        </w:rPr>
      </w:pPr>
      <w:r>
        <w:rPr>
          <w:rFonts w:ascii="Times New Roman"/>
          <w:highlight w:val="none"/>
        </w:rPr>
        <w:t>除满足基本级防护要求之外，还应符合以下要求：</w:t>
      </w:r>
    </w:p>
    <w:p>
      <w:pPr>
        <w:pStyle w:val="177"/>
        <w:numPr>
          <w:ilvl w:val="0"/>
          <w:numId w:val="0"/>
        </w:numPr>
        <w:ind w:left="426" w:hanging="1"/>
        <w:rPr>
          <w:rFonts w:ascii="Times New Roman"/>
          <w:highlight w:val="none"/>
        </w:rPr>
      </w:pPr>
      <w:r>
        <w:rPr>
          <w:rFonts w:ascii="Times New Roman"/>
          <w:highlight w:val="none"/>
        </w:rPr>
        <w:t>应按照用户服务级别协议的高低次序来指定带宽分配优先级别，保证在网络发生拥堵的时候优先保护高级别用户的服务通信。</w:t>
      </w:r>
    </w:p>
    <w:p>
      <w:pPr>
        <w:pStyle w:val="101"/>
        <w:spacing w:before="156" w:after="156"/>
        <w:ind w:left="0"/>
        <w:rPr>
          <w:rFonts w:ascii="Times New Roman"/>
          <w:highlight w:val="none"/>
        </w:rPr>
      </w:pPr>
      <w:r>
        <w:rPr>
          <w:rFonts w:ascii="Times New Roman"/>
          <w:highlight w:val="none"/>
        </w:rPr>
        <w:t>访问控制</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应实现对</w:t>
      </w:r>
      <w:r>
        <w:rPr>
          <w:rFonts w:hint="eastAsia" w:ascii="Times New Roman" w:hAnsi="Times New Roman"/>
          <w:kern w:val="0"/>
          <w:szCs w:val="20"/>
          <w:highlight w:val="none"/>
        </w:rPr>
        <w:t>MODBUS TCP、OPC</w:t>
      </w:r>
      <w:r>
        <w:rPr>
          <w:rFonts w:ascii="Times New Roman" w:hAnsi="Times New Roman"/>
          <w:kern w:val="0"/>
          <w:szCs w:val="20"/>
          <w:highlight w:val="none"/>
        </w:rPr>
        <w:t xml:space="preserve"> </w:t>
      </w:r>
      <w:r>
        <w:rPr>
          <w:rFonts w:hint="eastAsia" w:ascii="Times New Roman" w:hAnsi="Times New Roman"/>
          <w:kern w:val="0"/>
          <w:szCs w:val="20"/>
          <w:highlight w:val="none"/>
        </w:rPr>
        <w:t>UA等常用工业协议及</w:t>
      </w:r>
      <w:r>
        <w:rPr>
          <w:rFonts w:ascii="Times New Roman" w:hAnsi="Times New Roman"/>
          <w:kern w:val="0"/>
          <w:szCs w:val="20"/>
          <w:highlight w:val="none"/>
        </w:rPr>
        <w:t>HTTP等</w:t>
      </w:r>
      <w:r>
        <w:rPr>
          <w:rFonts w:hint="eastAsia" w:ascii="Times New Roman" w:hAnsi="Times New Roman"/>
          <w:kern w:val="0"/>
          <w:szCs w:val="20"/>
          <w:highlight w:val="none"/>
        </w:rPr>
        <w:t>互联网</w:t>
      </w:r>
      <w:r>
        <w:rPr>
          <w:rFonts w:ascii="Times New Roman" w:hAnsi="Times New Roman"/>
          <w:kern w:val="0"/>
          <w:szCs w:val="20"/>
          <w:highlight w:val="none"/>
        </w:rPr>
        <w:t>协议</w:t>
      </w:r>
      <w:r>
        <w:rPr>
          <w:rFonts w:hint="eastAsia" w:ascii="Times New Roman" w:hAnsi="Times New Roman"/>
          <w:kern w:val="0"/>
          <w:szCs w:val="20"/>
          <w:highlight w:val="none"/>
        </w:rPr>
        <w:t xml:space="preserve"> </w:t>
      </w:r>
      <w:r>
        <w:rPr>
          <w:rFonts w:ascii="Times New Roman" w:hAnsi="Times New Roman"/>
          <w:kern w:val="0"/>
          <w:szCs w:val="20"/>
          <w:highlight w:val="none"/>
        </w:rPr>
        <w:t>的</w:t>
      </w:r>
      <w:r>
        <w:rPr>
          <w:rFonts w:hint="eastAsia" w:ascii="Times New Roman" w:hAnsi="Times New Roman"/>
          <w:kern w:val="0"/>
          <w:szCs w:val="20"/>
          <w:highlight w:val="none"/>
        </w:rPr>
        <w:t>访问</w:t>
      </w:r>
      <w:r>
        <w:rPr>
          <w:rFonts w:ascii="Times New Roman" w:hAnsi="Times New Roman"/>
          <w:kern w:val="0"/>
          <w:szCs w:val="20"/>
          <w:highlight w:val="none"/>
        </w:rPr>
        <w:t>控制。</w:t>
      </w:r>
    </w:p>
    <w:p>
      <w:pPr>
        <w:pStyle w:val="101"/>
        <w:spacing w:before="156" w:after="156"/>
        <w:ind w:left="0"/>
        <w:rPr>
          <w:rFonts w:ascii="Times New Roman"/>
          <w:highlight w:val="none"/>
        </w:rPr>
      </w:pPr>
      <w:r>
        <w:rPr>
          <w:rFonts w:ascii="Times New Roman"/>
          <w:highlight w:val="none"/>
        </w:rPr>
        <w:t>安全审计</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应能够根据记录数据进行分析，发现异常能及时告警，并生成审计报表。</w:t>
      </w:r>
    </w:p>
    <w:p>
      <w:pPr>
        <w:pStyle w:val="101"/>
        <w:spacing w:before="156" w:after="156"/>
        <w:ind w:left="0"/>
        <w:rPr>
          <w:rFonts w:ascii="Times New Roman"/>
          <w:highlight w:val="none"/>
        </w:rPr>
      </w:pPr>
      <w:r>
        <w:rPr>
          <w:rFonts w:ascii="Times New Roman"/>
          <w:highlight w:val="none"/>
        </w:rPr>
        <w:t>恶意代码防范</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应周期性地维护恶意代码库的升级和检测系统的更新。</w:t>
      </w:r>
    </w:p>
    <w:p>
      <w:pPr>
        <w:pStyle w:val="101"/>
        <w:spacing w:before="156" w:after="156"/>
        <w:ind w:left="0"/>
        <w:rPr>
          <w:rFonts w:ascii="Times New Roman"/>
          <w:highlight w:val="none"/>
        </w:rPr>
      </w:pPr>
      <w:r>
        <w:rPr>
          <w:rFonts w:ascii="Times New Roman"/>
          <w:highlight w:val="none"/>
        </w:rPr>
        <w:t>网络设备安全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0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当对网络设备进行远程管理时，应采取加密等措施防止鉴别信息在网络传输过程中被窃取；</w:t>
      </w:r>
    </w:p>
    <w:p>
      <w:pPr>
        <w:numPr>
          <w:ilvl w:val="0"/>
          <w:numId w:val="10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应对网络设备进行分权分域管理，限制默认用户或者特权用户的权限，做到最小授权。</w:t>
      </w:r>
    </w:p>
    <w:p>
      <w:pPr>
        <w:pStyle w:val="101"/>
        <w:spacing w:before="156" w:after="156"/>
        <w:ind w:left="0"/>
        <w:rPr>
          <w:rFonts w:ascii="Times New Roman"/>
          <w:highlight w:val="none"/>
        </w:rPr>
      </w:pPr>
      <w:r>
        <w:rPr>
          <w:rFonts w:ascii="Times New Roman"/>
          <w:highlight w:val="none"/>
        </w:rPr>
        <w:t>网络安全监测</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0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应周期性地对攻击、威胁的特征库进行更新，并升级到最新版本；</w:t>
      </w:r>
    </w:p>
    <w:p>
      <w:pPr>
        <w:numPr>
          <w:ilvl w:val="0"/>
          <w:numId w:val="10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应支持对违法和不良信息或非法域名的检测发现并告警；</w:t>
      </w:r>
    </w:p>
    <w:p>
      <w:pPr>
        <w:numPr>
          <w:ilvl w:val="0"/>
          <w:numId w:val="10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应支持对攻击行为进行分析，明确攻击目标范围，并协助回溯到攻击源头；</w:t>
      </w:r>
    </w:p>
    <w:p>
      <w:pPr>
        <w:numPr>
          <w:ilvl w:val="0"/>
          <w:numId w:val="104"/>
        </w:numPr>
        <w:adjustRightInd/>
        <w:spacing w:line="240" w:lineRule="auto"/>
        <w:rPr>
          <w:rFonts w:ascii="Times New Roman" w:hAnsi="Times New Roman"/>
          <w:kern w:val="0"/>
          <w:szCs w:val="20"/>
          <w:highlight w:val="none"/>
        </w:rPr>
      </w:pPr>
      <w:r>
        <w:rPr>
          <w:rFonts w:ascii="Times New Roman" w:hAnsi="Times New Roman"/>
          <w:highlight w:val="none"/>
        </w:rPr>
        <w:t>应在网络边界处部署异常流量和对未知威胁的识别、监控和防护机制，并采取技术措施对网络进行行为分析，实现对网络攻击特别是未知的新型网络攻击的检测和分析。</w:t>
      </w:r>
    </w:p>
    <w:p>
      <w:pPr>
        <w:pStyle w:val="97"/>
        <w:spacing w:before="156" w:after="156"/>
        <w:ind w:left="0"/>
        <w:rPr>
          <w:rFonts w:ascii="Times New Roman"/>
          <w:highlight w:val="none"/>
        </w:rPr>
      </w:pPr>
      <w:bookmarkStart w:id="134" w:name="_Toc102984586"/>
      <w:r>
        <w:rPr>
          <w:rFonts w:ascii="Times New Roman"/>
          <w:highlight w:val="none"/>
        </w:rPr>
        <w:t>虚拟化安全防护要求</w:t>
      </w:r>
      <w:bookmarkEnd w:id="134"/>
    </w:p>
    <w:p>
      <w:pPr>
        <w:pStyle w:val="101"/>
        <w:spacing w:before="156" w:after="156"/>
        <w:ind w:left="0"/>
        <w:rPr>
          <w:rFonts w:ascii="Times New Roman"/>
          <w:highlight w:val="none"/>
        </w:rPr>
      </w:pPr>
      <w:r>
        <w:rPr>
          <w:rFonts w:ascii="Times New Roman"/>
          <w:highlight w:val="none"/>
        </w:rPr>
        <w:t>虚拟机安全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0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应保证虚拟机迁移过程中数据和内存的安全可靠，保证迁入虚拟机的完整性和迁移前后安全配置环境的一致性；</w:t>
      </w:r>
    </w:p>
    <w:p>
      <w:pPr>
        <w:numPr>
          <w:ilvl w:val="0"/>
          <w:numId w:val="10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应确保虚拟机操作系统的完整性，确保虚拟机操作系统不被篡改，且确保虚拟机实现安全启动；</w:t>
      </w:r>
    </w:p>
    <w:p>
      <w:pPr>
        <w:numPr>
          <w:ilvl w:val="0"/>
          <w:numId w:val="10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应对虚拟机镜像文件进行完整性校验，确保虚拟机镜像不被篡改；</w:t>
      </w:r>
    </w:p>
    <w:p>
      <w:pPr>
        <w:numPr>
          <w:ilvl w:val="0"/>
          <w:numId w:val="10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应提供最新版本的虚拟机镜像和补丁版本；</w:t>
      </w:r>
    </w:p>
    <w:p>
      <w:pPr>
        <w:numPr>
          <w:ilvl w:val="0"/>
          <w:numId w:val="10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应具备发现虚拟机操作系统漏洞的能力，进行漏洞修复。</w:t>
      </w:r>
    </w:p>
    <w:p>
      <w:pPr>
        <w:pStyle w:val="101"/>
        <w:spacing w:before="156" w:after="156"/>
        <w:ind w:left="0"/>
        <w:rPr>
          <w:rFonts w:ascii="Times New Roman"/>
          <w:highlight w:val="none"/>
        </w:rPr>
      </w:pPr>
      <w:r>
        <w:rPr>
          <w:rFonts w:ascii="Times New Roman"/>
          <w:highlight w:val="none"/>
        </w:rPr>
        <w:t>虚拟网络安全</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0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应支持对虚拟网络的逻辑隔离，在虚拟网络边界处实施访问控制策略；</w:t>
      </w:r>
    </w:p>
    <w:p>
      <w:pPr>
        <w:numPr>
          <w:ilvl w:val="0"/>
          <w:numId w:val="10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应对虚拟机网络出口带宽进行限制；</w:t>
      </w:r>
    </w:p>
    <w:p>
      <w:pPr>
        <w:numPr>
          <w:ilvl w:val="0"/>
          <w:numId w:val="10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可支持用户选择使用第三方安全产品。</w:t>
      </w:r>
    </w:p>
    <w:p>
      <w:pPr>
        <w:pStyle w:val="101"/>
        <w:spacing w:before="156" w:after="156"/>
        <w:ind w:left="0"/>
        <w:rPr>
          <w:rFonts w:ascii="Times New Roman"/>
          <w:highlight w:val="none"/>
        </w:rPr>
      </w:pPr>
      <w:r>
        <w:rPr>
          <w:rFonts w:ascii="Times New Roman"/>
          <w:highlight w:val="none"/>
        </w:rPr>
        <w:t>虚拟化平台安全</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同基本级要求。</w:t>
      </w:r>
    </w:p>
    <w:p>
      <w:pPr>
        <w:pStyle w:val="101"/>
        <w:spacing w:before="156" w:after="156"/>
        <w:ind w:left="0"/>
        <w:rPr>
          <w:rFonts w:ascii="Times New Roman"/>
          <w:highlight w:val="none"/>
        </w:rPr>
      </w:pPr>
      <w:r>
        <w:rPr>
          <w:rFonts w:ascii="Times New Roman"/>
          <w:highlight w:val="none"/>
        </w:rPr>
        <w:t>容器安全</w:t>
      </w:r>
    </w:p>
    <w:p>
      <w:pPr>
        <w:tabs>
          <w:tab w:val="center" w:pos="4201"/>
          <w:tab w:val="right" w:leader="dot" w:pos="9298"/>
        </w:tabs>
        <w:autoSpaceDE w:val="0"/>
        <w:autoSpaceDN w:val="0"/>
        <w:adjustRightInd/>
        <w:spacing w:line="240" w:lineRule="auto"/>
        <w:ind w:firstLine="420" w:firstLineChars="200"/>
        <w:rPr>
          <w:rFonts w:ascii="Times New Roman" w:hAnsi="Times New Roman"/>
          <w:highlight w:val="none"/>
        </w:rPr>
      </w:pPr>
      <w:r>
        <w:rPr>
          <w:rFonts w:ascii="Times New Roman" w:hAnsi="Times New Roman"/>
          <w:highlight w:val="none"/>
        </w:rPr>
        <w:t>除满足基本级防护要求之外，还应符合以下要求：</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highlight w:val="none"/>
        </w:rPr>
        <w:t>对容器服务进行访问控制，避免不必要的权限升级，对容器镜像进行数字签名及签名验证。</w:t>
      </w:r>
    </w:p>
    <w:p>
      <w:pPr>
        <w:pStyle w:val="68"/>
        <w:spacing w:before="156" w:after="156"/>
        <w:rPr>
          <w:rFonts w:ascii="Times New Roman"/>
          <w:highlight w:val="none"/>
        </w:rPr>
      </w:pPr>
      <w:bookmarkStart w:id="135" w:name="_Toc102984587"/>
      <w:bookmarkStart w:id="136" w:name="_Toc102992497"/>
      <w:r>
        <w:rPr>
          <w:rFonts w:ascii="Times New Roman"/>
          <w:highlight w:val="none"/>
        </w:rPr>
        <w:t>平台层安全防护要求</w:t>
      </w:r>
      <w:bookmarkEnd w:id="135"/>
      <w:bookmarkEnd w:id="136"/>
    </w:p>
    <w:p>
      <w:pPr>
        <w:pStyle w:val="97"/>
        <w:spacing w:before="156" w:after="156"/>
        <w:ind w:left="0"/>
        <w:rPr>
          <w:rFonts w:ascii="Times New Roman"/>
          <w:highlight w:val="none"/>
        </w:rPr>
      </w:pPr>
      <w:bookmarkStart w:id="137" w:name="_Toc102984588"/>
      <w:r>
        <w:rPr>
          <w:rFonts w:ascii="Times New Roman"/>
          <w:highlight w:val="none"/>
        </w:rPr>
        <w:t>微服务组件安全防护要求</w:t>
      </w:r>
      <w:bookmarkEnd w:id="137"/>
    </w:p>
    <w:p>
      <w:pPr>
        <w:pStyle w:val="59"/>
        <w:ind w:firstLine="0" w:firstLineChars="0"/>
        <w:rPr>
          <w:rFonts w:ascii="Times New Roman"/>
          <w:highlight w:val="none"/>
        </w:rPr>
      </w:pPr>
      <w:r>
        <w:rPr>
          <w:rFonts w:ascii="Times New Roman"/>
          <w:highlight w:val="none"/>
        </w:rPr>
        <w:t xml:space="preserve">    同基本级要求。</w:t>
      </w:r>
    </w:p>
    <w:p>
      <w:pPr>
        <w:pStyle w:val="97"/>
        <w:spacing w:before="156" w:after="156"/>
        <w:ind w:left="0"/>
        <w:rPr>
          <w:rFonts w:ascii="Times New Roman"/>
          <w:highlight w:val="none"/>
        </w:rPr>
      </w:pPr>
      <w:bookmarkStart w:id="138" w:name="_Toc102984589"/>
      <w:r>
        <w:rPr>
          <w:rFonts w:ascii="Times New Roman"/>
          <w:highlight w:val="none"/>
        </w:rPr>
        <w:t>平台应用开发环境安全防护要求</w:t>
      </w:r>
      <w:bookmarkEnd w:id="138"/>
    </w:p>
    <w:p>
      <w:pPr>
        <w:pStyle w:val="101"/>
        <w:spacing w:before="156" w:after="156"/>
        <w:ind w:left="0"/>
        <w:rPr>
          <w:rFonts w:ascii="Times New Roman"/>
          <w:highlight w:val="none"/>
        </w:rPr>
      </w:pPr>
      <w:r>
        <w:rPr>
          <w:rFonts w:ascii="Times New Roman"/>
          <w:highlight w:val="none"/>
        </w:rPr>
        <w:t>身份鉴别</w:t>
      </w:r>
    </w:p>
    <w:p>
      <w:pPr>
        <w:tabs>
          <w:tab w:val="left" w:pos="840"/>
        </w:tabs>
        <w:adjustRightInd/>
        <w:spacing w:line="240" w:lineRule="auto"/>
        <w:ind w:left="424" w:leftChars="200" w:hanging="4" w:hangingChars="2"/>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tabs>
          <w:tab w:val="left" w:pos="840"/>
        </w:tabs>
        <w:adjustRightInd/>
        <w:spacing w:line="240" w:lineRule="auto"/>
        <w:ind w:left="424" w:leftChars="200" w:hanging="4" w:hangingChars="2"/>
        <w:rPr>
          <w:rFonts w:ascii="Times New Roman" w:hAnsi="Times New Roman"/>
          <w:kern w:val="0"/>
          <w:szCs w:val="20"/>
          <w:highlight w:val="none"/>
        </w:rPr>
      </w:pPr>
      <w:r>
        <w:rPr>
          <w:rFonts w:ascii="Times New Roman" w:hAnsi="Times New Roman"/>
          <w:kern w:val="0"/>
          <w:szCs w:val="20"/>
          <w:highlight w:val="none"/>
        </w:rPr>
        <w:t>需要登录访问的开发环境，应对用户访问和操作的有关环节（如注册、登录、操作、管理、浏览等）提供有效的保护措施（如对用户注册口令进行强度检查、用户检测和账号保护、以图形验证码保护各类提交信息、对用户重要操作进行确认和验证、授权访问页面使用安全连接等）。</w:t>
      </w:r>
    </w:p>
    <w:p>
      <w:pPr>
        <w:pStyle w:val="101"/>
        <w:spacing w:before="156" w:after="156"/>
        <w:ind w:left="0"/>
        <w:rPr>
          <w:rFonts w:ascii="Times New Roman"/>
          <w:highlight w:val="none"/>
        </w:rPr>
      </w:pPr>
      <w:r>
        <w:rPr>
          <w:rFonts w:ascii="Times New Roman"/>
          <w:highlight w:val="none"/>
        </w:rPr>
        <w:t>访问控制</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bookmarkStart w:id="139" w:name="_Hlk500697072"/>
      <w:r>
        <w:rPr>
          <w:rFonts w:ascii="Times New Roman" w:hAnsi="Times New Roman"/>
          <w:kern w:val="0"/>
          <w:szCs w:val="20"/>
          <w:highlight w:val="none"/>
        </w:rPr>
        <w:t>同基本级要求。</w:t>
      </w:r>
    </w:p>
    <w:bookmarkEnd w:id="139"/>
    <w:p>
      <w:pPr>
        <w:pStyle w:val="101"/>
        <w:spacing w:before="156" w:after="156"/>
        <w:ind w:left="0"/>
        <w:rPr>
          <w:rFonts w:ascii="Times New Roman"/>
          <w:highlight w:val="none"/>
        </w:rPr>
      </w:pPr>
      <w:r>
        <w:rPr>
          <w:rFonts w:ascii="Times New Roman"/>
          <w:highlight w:val="none"/>
        </w:rPr>
        <w:t>安全审计</w:t>
      </w:r>
    </w:p>
    <w:p>
      <w:pPr>
        <w:tabs>
          <w:tab w:val="center" w:pos="4201"/>
          <w:tab w:val="right" w:leader="dot" w:pos="9298"/>
        </w:tabs>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同基本级要求。</w:t>
      </w:r>
    </w:p>
    <w:p>
      <w:pPr>
        <w:pStyle w:val="101"/>
        <w:spacing w:before="156" w:after="156"/>
        <w:ind w:left="0"/>
        <w:rPr>
          <w:rFonts w:ascii="Times New Roman"/>
          <w:highlight w:val="none"/>
        </w:rPr>
      </w:pPr>
      <w:r>
        <w:rPr>
          <w:rFonts w:ascii="Times New Roman"/>
          <w:highlight w:val="none"/>
        </w:rPr>
        <w:t>资源控制</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0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根据需要对用户与开发环境之间相关通信过程中的全部报文或整个会话过程提供必要的保护（如进行通信数据加密），并提供对相关访问、通信等数据的防抵赖功能；</w:t>
      </w:r>
    </w:p>
    <w:p>
      <w:pPr>
        <w:numPr>
          <w:ilvl w:val="0"/>
          <w:numId w:val="10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定义服务水平阈值，能够对服务水平进行监测，并具备当服务水平降低到预先规定的阈值时进行告警的功能。</w:t>
      </w:r>
    </w:p>
    <w:p>
      <w:pPr>
        <w:pStyle w:val="101"/>
        <w:spacing w:before="156" w:after="156"/>
        <w:ind w:left="0"/>
        <w:rPr>
          <w:rFonts w:ascii="Times New Roman"/>
          <w:highlight w:val="none"/>
        </w:rPr>
      </w:pPr>
      <w:r>
        <w:rPr>
          <w:rFonts w:ascii="Times New Roman"/>
          <w:highlight w:val="none"/>
        </w:rPr>
        <w:t>信息保护</w:t>
      </w:r>
    </w:p>
    <w:p>
      <w:pPr>
        <w:tabs>
          <w:tab w:val="left" w:pos="840"/>
        </w:tabs>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0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与开发环境中的重要功能相关的数据应进行异址备份；</w:t>
      </w:r>
    </w:p>
    <w:p>
      <w:pPr>
        <w:numPr>
          <w:ilvl w:val="0"/>
          <w:numId w:val="10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开发环境应提供数据自动保护功能，当发生故障后应保证开发环境能够恢复到故障前的业务状态。</w:t>
      </w:r>
    </w:p>
    <w:p>
      <w:pPr>
        <w:pStyle w:val="101"/>
        <w:spacing w:before="156" w:after="156"/>
        <w:ind w:left="0"/>
        <w:rPr>
          <w:rFonts w:ascii="Times New Roman"/>
          <w:highlight w:val="none"/>
        </w:rPr>
      </w:pPr>
      <w:r>
        <w:rPr>
          <w:rFonts w:ascii="Times New Roman"/>
          <w:highlight w:val="none"/>
        </w:rPr>
        <w:t>恶意代码防范</w:t>
      </w:r>
    </w:p>
    <w:p>
      <w:pPr>
        <w:tabs>
          <w:tab w:val="left" w:pos="840"/>
        </w:tabs>
        <w:adjustRightInd/>
        <w:spacing w:line="240" w:lineRule="auto"/>
        <w:ind w:left="424" w:leftChars="200" w:hanging="4" w:hangingChars="2"/>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tabs>
          <w:tab w:val="left" w:pos="840"/>
        </w:tabs>
        <w:adjustRightInd/>
        <w:spacing w:line="240" w:lineRule="auto"/>
        <w:ind w:left="424" w:leftChars="200" w:hanging="4" w:hangingChars="2"/>
        <w:rPr>
          <w:rFonts w:ascii="Times New Roman" w:hAnsi="Times New Roman"/>
          <w:kern w:val="0"/>
          <w:szCs w:val="20"/>
          <w:highlight w:val="none"/>
        </w:rPr>
      </w:pPr>
      <w:r>
        <w:rPr>
          <w:rFonts w:ascii="Times New Roman" w:hAnsi="Times New Roman"/>
          <w:kern w:val="0"/>
          <w:szCs w:val="20"/>
          <w:highlight w:val="none"/>
        </w:rPr>
        <w:t>应提供有效的恶意代码检测和过滤技术手段，对开发环境向用户提供的各类信息（如用户发布和上传的文件、资源站点可供下载的立件、即时通信用户间传送的文件、电子邮件附件）进行必要的安全检查和过滤。</w:t>
      </w:r>
    </w:p>
    <w:p>
      <w:pPr>
        <w:pStyle w:val="101"/>
        <w:spacing w:before="156" w:after="156"/>
        <w:ind w:left="0"/>
        <w:rPr>
          <w:rFonts w:ascii="Times New Roman"/>
          <w:highlight w:val="none"/>
        </w:rPr>
      </w:pPr>
      <w:r>
        <w:rPr>
          <w:rFonts w:ascii="Times New Roman"/>
          <w:highlight w:val="none"/>
        </w:rPr>
        <w:t>上线前检测</w:t>
      </w:r>
    </w:p>
    <w:p>
      <w:pPr>
        <w:pStyle w:val="177"/>
        <w:numPr>
          <w:ilvl w:val="0"/>
          <w:numId w:val="0"/>
        </w:numPr>
        <w:ind w:left="851" w:hanging="426"/>
        <w:rPr>
          <w:rFonts w:ascii="Times New Roman"/>
          <w:highlight w:val="none"/>
        </w:rPr>
      </w:pPr>
      <w:r>
        <w:rPr>
          <w:rFonts w:ascii="Times New Roman"/>
          <w:highlight w:val="none"/>
        </w:rPr>
        <w:t>除满足基本级防护要求之外，还应符合以下要求：</w:t>
      </w:r>
    </w:p>
    <w:p>
      <w:pPr>
        <w:pStyle w:val="177"/>
        <w:numPr>
          <w:ilvl w:val="0"/>
          <w:numId w:val="109"/>
        </w:numPr>
        <w:rPr>
          <w:rFonts w:ascii="Times New Roman"/>
          <w:highlight w:val="none"/>
        </w:rPr>
      </w:pPr>
      <w:r>
        <w:rPr>
          <w:rFonts w:ascii="Times New Roman"/>
          <w:highlight w:val="none"/>
        </w:rPr>
        <w:t>业务应用与工业APP在上线前或升级后应进行代码审计，形成报告，并对审计出的问题进行代码升级完善；</w:t>
      </w:r>
    </w:p>
    <w:p>
      <w:pPr>
        <w:pStyle w:val="177"/>
        <w:rPr>
          <w:rFonts w:ascii="Times New Roman"/>
          <w:highlight w:val="none"/>
        </w:rPr>
      </w:pPr>
      <w:r>
        <w:rPr>
          <w:rFonts w:ascii="Times New Roman"/>
          <w:highlight w:val="none"/>
        </w:rPr>
        <w:t>业务应用与工业APP应避免使用含有己公开漏洞的开源第三方应用组件及代码（漏洞库可参考</w:t>
      </w:r>
      <w:r>
        <w:rPr>
          <w:rFonts w:hint="eastAsia" w:ascii="Times New Roman"/>
          <w:highlight w:val="none"/>
        </w:rPr>
        <w:t>CNVD、CNNVD、CVE、CNCVE</w:t>
      </w:r>
      <w:r>
        <w:rPr>
          <w:rFonts w:ascii="Times New Roman"/>
          <w:highlight w:val="none"/>
        </w:rPr>
        <w:t>等）。</w:t>
      </w:r>
    </w:p>
    <w:p>
      <w:pPr>
        <w:pStyle w:val="97"/>
        <w:spacing w:before="156" w:after="156"/>
        <w:ind w:left="0"/>
        <w:rPr>
          <w:rFonts w:ascii="Times New Roman"/>
          <w:highlight w:val="none"/>
        </w:rPr>
      </w:pPr>
      <w:bookmarkStart w:id="140" w:name="_Toc102984590"/>
      <w:r>
        <w:rPr>
          <w:rFonts w:ascii="Times New Roman"/>
          <w:highlight w:val="none"/>
        </w:rPr>
        <w:t>容器安全防护要求</w:t>
      </w:r>
      <w:bookmarkEnd w:id="140"/>
    </w:p>
    <w:p>
      <w:pPr>
        <w:pStyle w:val="59"/>
        <w:tabs>
          <w:tab w:val="left" w:pos="851"/>
        </w:tabs>
        <w:ind w:firstLine="420"/>
        <w:rPr>
          <w:rFonts w:ascii="Times New Roman"/>
          <w:highlight w:val="none"/>
        </w:rPr>
      </w:pPr>
      <w:r>
        <w:rPr>
          <w:rFonts w:ascii="Times New Roman"/>
          <w:highlight w:val="none"/>
        </w:rPr>
        <w:t>同基本级要求。</w:t>
      </w:r>
    </w:p>
    <w:p>
      <w:pPr>
        <w:pStyle w:val="68"/>
        <w:spacing w:before="156" w:after="156"/>
        <w:rPr>
          <w:rFonts w:ascii="Times New Roman"/>
          <w:highlight w:val="none"/>
        </w:rPr>
      </w:pPr>
      <w:bookmarkStart w:id="141" w:name="_Toc102984591"/>
      <w:bookmarkStart w:id="142" w:name="_Toc102992498"/>
      <w:r>
        <w:rPr>
          <w:rFonts w:ascii="Times New Roman"/>
          <w:highlight w:val="none"/>
        </w:rPr>
        <w:t>应用层安全防护要求</w:t>
      </w:r>
      <w:bookmarkEnd w:id="141"/>
      <w:bookmarkEnd w:id="142"/>
    </w:p>
    <w:p>
      <w:pPr>
        <w:pStyle w:val="97"/>
        <w:spacing w:before="156" w:after="156"/>
        <w:ind w:left="0"/>
        <w:rPr>
          <w:rFonts w:ascii="Times New Roman"/>
          <w:highlight w:val="none"/>
        </w:rPr>
      </w:pPr>
      <w:bookmarkStart w:id="143" w:name="_Toc102984592"/>
      <w:r>
        <w:rPr>
          <w:rFonts w:ascii="Times New Roman"/>
          <w:highlight w:val="none"/>
        </w:rPr>
        <w:t>身份鉴别</w:t>
      </w:r>
      <w:bookmarkEnd w:id="143"/>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pStyle w:val="177"/>
        <w:numPr>
          <w:ilvl w:val="0"/>
          <w:numId w:val="110"/>
        </w:numPr>
        <w:rPr>
          <w:rFonts w:ascii="Times New Roman"/>
          <w:highlight w:val="none"/>
        </w:rPr>
      </w:pPr>
      <w:r>
        <w:rPr>
          <w:rFonts w:ascii="Times New Roman"/>
          <w:highlight w:val="none"/>
        </w:rPr>
        <w:t>工业APP在访问敏感数据、关键业务或系统配置前，应对用户身份进行二次鉴别。</w:t>
      </w:r>
    </w:p>
    <w:p>
      <w:pPr>
        <w:pStyle w:val="97"/>
        <w:spacing w:before="156" w:after="156"/>
        <w:ind w:left="0"/>
        <w:rPr>
          <w:rFonts w:ascii="Times New Roman"/>
          <w:highlight w:val="none"/>
        </w:rPr>
      </w:pPr>
      <w:bookmarkStart w:id="144" w:name="_Toc102984593"/>
      <w:r>
        <w:rPr>
          <w:rFonts w:ascii="Times New Roman"/>
          <w:highlight w:val="none"/>
        </w:rPr>
        <w:t>口令安全机制</w:t>
      </w:r>
      <w:bookmarkEnd w:id="144"/>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pStyle w:val="177"/>
        <w:numPr>
          <w:ilvl w:val="0"/>
          <w:numId w:val="111"/>
        </w:numPr>
        <w:rPr>
          <w:rFonts w:ascii="Times New Roman"/>
          <w:highlight w:val="none"/>
        </w:rPr>
      </w:pPr>
      <w:r>
        <w:rPr>
          <w:rFonts w:ascii="Times New Roman"/>
          <w:highlight w:val="none"/>
        </w:rPr>
        <w:t>不应默认保存用户上次的账号及口令信息；</w:t>
      </w:r>
    </w:p>
    <w:p>
      <w:pPr>
        <w:widowControl/>
        <w:numPr>
          <w:ilvl w:val="0"/>
          <w:numId w:val="69"/>
        </w:numPr>
        <w:tabs>
          <w:tab w:val="left" w:pos="851"/>
        </w:tabs>
        <w:adjustRightInd/>
        <w:spacing w:line="240" w:lineRule="auto"/>
        <w:rPr>
          <w:rFonts w:ascii="Times New Roman" w:hAnsi="Times New Roman"/>
          <w:kern w:val="0"/>
          <w:szCs w:val="20"/>
          <w:highlight w:val="none"/>
        </w:rPr>
      </w:pPr>
      <w:r>
        <w:rPr>
          <w:rFonts w:ascii="Times New Roman" w:hAnsi="Times New Roman"/>
          <w:kern w:val="0"/>
          <w:szCs w:val="20"/>
          <w:highlight w:val="none"/>
        </w:rPr>
        <w:t>应具备口令强度、时效性检查机制。</w:t>
      </w:r>
    </w:p>
    <w:p>
      <w:pPr>
        <w:pStyle w:val="97"/>
        <w:spacing w:before="156" w:after="156"/>
        <w:ind w:left="0"/>
        <w:rPr>
          <w:rFonts w:ascii="Times New Roman"/>
          <w:highlight w:val="none"/>
        </w:rPr>
      </w:pPr>
      <w:bookmarkStart w:id="145" w:name="_Toc102984594"/>
      <w:r>
        <w:rPr>
          <w:rFonts w:ascii="Times New Roman"/>
          <w:highlight w:val="none"/>
        </w:rPr>
        <w:t>访问控制</w:t>
      </w:r>
      <w:bookmarkEnd w:id="145"/>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同基本级要求。</w:t>
      </w:r>
    </w:p>
    <w:p>
      <w:pPr>
        <w:pStyle w:val="97"/>
        <w:spacing w:before="156" w:after="156"/>
        <w:ind w:left="0"/>
        <w:rPr>
          <w:rFonts w:ascii="Times New Roman"/>
          <w:highlight w:val="none"/>
        </w:rPr>
      </w:pPr>
      <w:bookmarkStart w:id="146" w:name="_Toc102984595"/>
      <w:r>
        <w:rPr>
          <w:rFonts w:ascii="Times New Roman"/>
          <w:highlight w:val="none"/>
        </w:rPr>
        <w:t>安全审计</w:t>
      </w:r>
      <w:bookmarkEnd w:id="146"/>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a)</w:t>
      </w:r>
      <w:r>
        <w:rPr>
          <w:rFonts w:ascii="Times New Roman" w:hAnsi="Times New Roman"/>
          <w:kern w:val="0"/>
          <w:szCs w:val="20"/>
          <w:highlight w:val="none"/>
        </w:rPr>
        <w:tab/>
      </w:r>
      <w:r>
        <w:rPr>
          <w:rFonts w:ascii="Times New Roman" w:hAnsi="Times New Roman"/>
          <w:kern w:val="0"/>
          <w:szCs w:val="20"/>
          <w:highlight w:val="none"/>
        </w:rPr>
        <w:t>应具备对审计记录数据进行统计、查询、分析及生成审计报表的功能；</w:t>
      </w:r>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b)</w:t>
      </w:r>
      <w:r>
        <w:rPr>
          <w:rFonts w:ascii="Times New Roman" w:hAnsi="Times New Roman"/>
          <w:kern w:val="0"/>
          <w:szCs w:val="20"/>
          <w:highlight w:val="none"/>
        </w:rPr>
        <w:tab/>
      </w:r>
      <w:r>
        <w:rPr>
          <w:rFonts w:ascii="Times New Roman" w:hAnsi="Times New Roman"/>
          <w:kern w:val="0"/>
          <w:szCs w:val="20"/>
          <w:highlight w:val="none"/>
        </w:rPr>
        <w:t>应具备自动化审计功能，监控明显异常操作并响应；</w:t>
      </w:r>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c)</w:t>
      </w:r>
      <w:r>
        <w:rPr>
          <w:rFonts w:ascii="Times New Roman" w:hAnsi="Times New Roman"/>
          <w:kern w:val="0"/>
          <w:szCs w:val="20"/>
          <w:highlight w:val="none"/>
        </w:rPr>
        <w:tab/>
      </w:r>
      <w:r>
        <w:rPr>
          <w:rFonts w:ascii="Times New Roman" w:hAnsi="Times New Roman"/>
          <w:kern w:val="0"/>
          <w:szCs w:val="20"/>
          <w:highlight w:val="none"/>
        </w:rPr>
        <w:t>应能汇聚服务范围内的审计数据，支持第三方审计。</w:t>
      </w:r>
    </w:p>
    <w:p>
      <w:pPr>
        <w:pStyle w:val="97"/>
        <w:spacing w:before="156" w:after="156"/>
        <w:ind w:left="0"/>
        <w:rPr>
          <w:rFonts w:ascii="Times New Roman"/>
          <w:highlight w:val="none"/>
        </w:rPr>
      </w:pPr>
      <w:bookmarkStart w:id="147" w:name="_Toc102984596"/>
      <w:r>
        <w:rPr>
          <w:rFonts w:ascii="Times New Roman"/>
          <w:highlight w:val="none"/>
        </w:rPr>
        <w:t>运行安全</w:t>
      </w:r>
      <w:bookmarkEnd w:id="147"/>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同基本级要求。</w:t>
      </w:r>
    </w:p>
    <w:p>
      <w:pPr>
        <w:pStyle w:val="97"/>
        <w:spacing w:before="156" w:after="156"/>
        <w:ind w:left="0"/>
        <w:rPr>
          <w:rFonts w:ascii="Times New Roman"/>
          <w:highlight w:val="none"/>
        </w:rPr>
      </w:pPr>
      <w:bookmarkStart w:id="148" w:name="_Toc102984597"/>
      <w:r>
        <w:rPr>
          <w:rFonts w:ascii="Times New Roman"/>
          <w:highlight w:val="none"/>
        </w:rPr>
        <w:t>安装与卸载</w:t>
      </w:r>
      <w:bookmarkEnd w:id="148"/>
      <w:r>
        <w:rPr>
          <w:rFonts w:ascii="Times New Roman"/>
          <w:highlight w:val="none"/>
        </w:rPr>
        <w:t>安全</w:t>
      </w:r>
    </w:p>
    <w:p>
      <w:pPr>
        <w:widowControl/>
        <w:tabs>
          <w:tab w:val="left" w:pos="851"/>
        </w:tabs>
        <w:adjustRightInd/>
        <w:spacing w:line="240" w:lineRule="auto"/>
        <w:ind w:left="851" w:hanging="426"/>
        <w:rPr>
          <w:rFonts w:ascii="Times New Roman" w:hAnsi="Times New Roman"/>
          <w:kern w:val="0"/>
          <w:szCs w:val="20"/>
          <w:highlight w:val="none"/>
        </w:rPr>
      </w:pPr>
      <w:r>
        <w:rPr>
          <w:rFonts w:ascii="Times New Roman" w:hAnsi="Times New Roman"/>
          <w:kern w:val="0"/>
          <w:szCs w:val="20"/>
          <w:highlight w:val="none"/>
        </w:rPr>
        <w:t>同基本级要求。</w:t>
      </w:r>
    </w:p>
    <w:p>
      <w:pPr>
        <w:pStyle w:val="97"/>
        <w:spacing w:before="156" w:after="156"/>
        <w:ind w:left="0"/>
        <w:rPr>
          <w:rFonts w:ascii="Times New Roman"/>
          <w:highlight w:val="none"/>
        </w:rPr>
      </w:pPr>
      <w:bookmarkStart w:id="149" w:name="_Toc102984598"/>
      <w:r>
        <w:rPr>
          <w:rFonts w:ascii="Times New Roman"/>
          <w:highlight w:val="none"/>
        </w:rPr>
        <w:t>其他安全</w:t>
      </w:r>
      <w:bookmarkEnd w:id="149"/>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a)</w:t>
      </w:r>
      <w:r>
        <w:rPr>
          <w:rFonts w:ascii="Times New Roman" w:hAnsi="Times New Roman"/>
          <w:kern w:val="0"/>
          <w:szCs w:val="20"/>
          <w:highlight w:val="none"/>
        </w:rPr>
        <w:tab/>
      </w:r>
      <w:r>
        <w:rPr>
          <w:rFonts w:ascii="Times New Roman" w:hAnsi="Times New Roman"/>
          <w:kern w:val="0"/>
          <w:szCs w:val="20"/>
          <w:highlight w:val="none"/>
        </w:rPr>
        <w:t>不应在服务器端日志中记录用户敏感信息，如果确实需要记录敏感信息，则应进行模糊化处理；</w:t>
      </w:r>
    </w:p>
    <w:p>
      <w:pPr>
        <w:widowControl/>
        <w:autoSpaceDE w:val="0"/>
        <w:autoSpaceDN w:val="0"/>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b)</w:t>
      </w:r>
      <w:r>
        <w:rPr>
          <w:rFonts w:ascii="Times New Roman" w:hAnsi="Times New Roman"/>
          <w:kern w:val="0"/>
          <w:szCs w:val="20"/>
          <w:highlight w:val="none"/>
        </w:rPr>
        <w:tab/>
      </w:r>
      <w:r>
        <w:rPr>
          <w:rFonts w:ascii="Times New Roman" w:hAnsi="Times New Roman"/>
          <w:kern w:val="0"/>
          <w:szCs w:val="20"/>
          <w:highlight w:val="none"/>
        </w:rPr>
        <w:t>应确保服务器端日志数据的安全存储，并严格限制日志数据的访问权限。</w:t>
      </w:r>
    </w:p>
    <w:p>
      <w:pPr>
        <w:pStyle w:val="68"/>
        <w:spacing w:before="156" w:after="156"/>
        <w:rPr>
          <w:rFonts w:ascii="Times New Roman"/>
          <w:highlight w:val="none"/>
        </w:rPr>
      </w:pPr>
      <w:bookmarkStart w:id="150" w:name="_Toc102984599"/>
      <w:bookmarkStart w:id="151" w:name="_Toc102992499"/>
      <w:r>
        <w:rPr>
          <w:rFonts w:ascii="Times New Roman"/>
          <w:highlight w:val="none"/>
        </w:rPr>
        <w:t>数据安全防护要求</w:t>
      </w:r>
      <w:bookmarkEnd w:id="150"/>
      <w:bookmarkEnd w:id="151"/>
    </w:p>
    <w:p>
      <w:pPr>
        <w:pStyle w:val="59"/>
        <w:ind w:firstLine="420"/>
        <w:rPr>
          <w:rFonts w:ascii="Times New Roman"/>
          <w:highlight w:val="none"/>
        </w:rPr>
      </w:pPr>
      <w:r>
        <w:rPr>
          <w:rFonts w:ascii="Times New Roman"/>
          <w:highlight w:val="none"/>
        </w:rPr>
        <w:t>平台应按照GB/T XXXXX-XXXX《工业互联网企业网络安全 第4部分：数据安全防护要求》对平台所使用和存储的数据进行分类分级，依据分级要求采取对应的数据安全防护措施。</w:t>
      </w:r>
    </w:p>
    <w:p>
      <w:pPr>
        <w:pStyle w:val="68"/>
        <w:spacing w:before="156" w:after="156"/>
        <w:rPr>
          <w:rFonts w:ascii="Times New Roman"/>
          <w:highlight w:val="none"/>
        </w:rPr>
      </w:pPr>
      <w:bookmarkStart w:id="152" w:name="_Toc102984600"/>
      <w:bookmarkStart w:id="153" w:name="_Toc102992500"/>
      <w:r>
        <w:rPr>
          <w:rFonts w:ascii="Times New Roman"/>
          <w:highlight w:val="none"/>
        </w:rPr>
        <w:t>安全管理</w:t>
      </w:r>
      <w:bookmarkEnd w:id="152"/>
      <w:bookmarkEnd w:id="153"/>
    </w:p>
    <w:p>
      <w:pPr>
        <w:pStyle w:val="97"/>
        <w:spacing w:before="156" w:after="156"/>
        <w:ind w:left="0"/>
        <w:rPr>
          <w:rFonts w:ascii="Times New Roman"/>
          <w:highlight w:val="none"/>
        </w:rPr>
      </w:pPr>
      <w:bookmarkStart w:id="154" w:name="_Toc102984601"/>
      <w:r>
        <w:rPr>
          <w:rFonts w:ascii="Times New Roman"/>
          <w:highlight w:val="none"/>
        </w:rPr>
        <w:t>安全管理制度</w:t>
      </w:r>
      <w:bookmarkEnd w:id="154"/>
    </w:p>
    <w:p>
      <w:pPr>
        <w:pStyle w:val="59"/>
        <w:ind w:firstLine="420"/>
        <w:rPr>
          <w:rFonts w:ascii="Times New Roman"/>
          <w:highlight w:val="none"/>
        </w:rPr>
      </w:pPr>
      <w:r>
        <w:rPr>
          <w:rFonts w:ascii="Times New Roman"/>
          <w:highlight w:val="none"/>
        </w:rPr>
        <w:t>除满足基本级防护要求之外，还应符合以下要求：</w:t>
      </w:r>
    </w:p>
    <w:p>
      <w:pPr>
        <w:pStyle w:val="177"/>
        <w:numPr>
          <w:ilvl w:val="0"/>
          <w:numId w:val="112"/>
        </w:numPr>
        <w:rPr>
          <w:rFonts w:ascii="Times New Roman"/>
          <w:highlight w:val="none"/>
        </w:rPr>
      </w:pPr>
      <w:r>
        <w:rPr>
          <w:rFonts w:ascii="Times New Roman"/>
          <w:highlight w:val="none"/>
        </w:rPr>
        <w:t>应建立针对工业互联网平台的安全监测和应急响应制度，健全监测、处置、应急、备份等流程规范性文件；</w:t>
      </w:r>
    </w:p>
    <w:p>
      <w:pPr>
        <w:pStyle w:val="177"/>
        <w:numPr>
          <w:ilvl w:val="0"/>
          <w:numId w:val="112"/>
        </w:numPr>
        <w:rPr>
          <w:rFonts w:ascii="Times New Roman"/>
          <w:highlight w:val="none"/>
        </w:rPr>
      </w:pPr>
      <w:r>
        <w:rPr>
          <w:rFonts w:ascii="Times New Roman"/>
          <w:highlight w:val="none"/>
        </w:rPr>
        <w:t>应形成由安全策略、管理制度、操作规程、记录表单等构成的全面的安全管理制度体系。</w:t>
      </w:r>
    </w:p>
    <w:p>
      <w:pPr>
        <w:pStyle w:val="97"/>
        <w:spacing w:before="156" w:after="156"/>
        <w:ind w:left="0"/>
        <w:rPr>
          <w:rFonts w:ascii="Times New Roman"/>
          <w:highlight w:val="none"/>
        </w:rPr>
      </w:pPr>
      <w:bookmarkStart w:id="155" w:name="_Toc102984602"/>
      <w:r>
        <w:rPr>
          <w:rFonts w:ascii="Times New Roman"/>
          <w:highlight w:val="none"/>
        </w:rPr>
        <w:t>安全管理机构和人员要求</w:t>
      </w:r>
      <w:bookmarkEnd w:id="155"/>
    </w:p>
    <w:p>
      <w:pPr>
        <w:pStyle w:val="101"/>
        <w:spacing w:before="156" w:after="156"/>
        <w:ind w:left="0"/>
        <w:rPr>
          <w:rFonts w:ascii="Times New Roman"/>
          <w:highlight w:val="none"/>
        </w:rPr>
      </w:pPr>
      <w:r>
        <w:rPr>
          <w:rFonts w:ascii="Times New Roman"/>
          <w:highlight w:val="none"/>
        </w:rPr>
        <w:t>安全管理机构</w:t>
      </w:r>
    </w:p>
    <w:p>
      <w:pPr>
        <w:ind w:firstLine="420" w:firstLineChars="200"/>
        <w:rPr>
          <w:rFonts w:ascii="Times New Roman" w:hAnsi="Times New Roman"/>
          <w:kern w:val="0"/>
          <w:szCs w:val="20"/>
          <w:highlight w:val="none"/>
        </w:rPr>
      </w:pPr>
      <w:r>
        <w:rPr>
          <w:rFonts w:ascii="Times New Roman" w:hAnsi="Times New Roman"/>
          <w:kern w:val="0"/>
          <w:szCs w:val="20"/>
          <w:highlight w:val="none"/>
        </w:rPr>
        <w:t>同基本级要求。</w:t>
      </w:r>
    </w:p>
    <w:p>
      <w:pPr>
        <w:pStyle w:val="101"/>
        <w:spacing w:before="156" w:after="156"/>
        <w:ind w:left="0"/>
        <w:rPr>
          <w:rFonts w:ascii="Times New Roman"/>
          <w:highlight w:val="none"/>
        </w:rPr>
      </w:pPr>
      <w:r>
        <w:rPr>
          <w:rFonts w:ascii="Times New Roman"/>
          <w:highlight w:val="none"/>
        </w:rPr>
        <w:t>人员</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1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应成立指导和管理安全工作的委员会或领导小组，其最高领导由单位主管领导委任或授权；</w:t>
      </w:r>
    </w:p>
    <w:p>
      <w:pPr>
        <w:numPr>
          <w:ilvl w:val="0"/>
          <w:numId w:val="11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应定期审查审批事项，及时更新需授权和审批的项目、审批部门和审批人等信息；</w:t>
      </w:r>
    </w:p>
    <w:p>
      <w:pPr>
        <w:numPr>
          <w:ilvl w:val="0"/>
          <w:numId w:val="11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应定期进行全面安全检查，检查内容包括现有安全技术措施的有效性、安全配置与安全策略的一致性、安全管理制度的执行情况等；</w:t>
      </w:r>
    </w:p>
    <w:p>
      <w:pPr>
        <w:numPr>
          <w:ilvl w:val="0"/>
          <w:numId w:val="11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应制定安全检查表格实施安全检查，汇总安全检查数据，形成安全检查报告，并对安全检查结果进行通报；</w:t>
      </w:r>
    </w:p>
    <w:p>
      <w:pPr>
        <w:numPr>
          <w:ilvl w:val="0"/>
          <w:numId w:val="11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应对被录用人员所具有的技术技能进行考核，应与被录用人员签署保密协议，与关键岗位人员签署岗位责任协议；</w:t>
      </w:r>
    </w:p>
    <w:p>
      <w:pPr>
        <w:numPr>
          <w:ilvl w:val="0"/>
          <w:numId w:val="11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人员离岗时，应办理严格的调离手续，并承诺调离后的保密义务后方可离开；</w:t>
      </w:r>
    </w:p>
    <w:p>
      <w:pPr>
        <w:numPr>
          <w:ilvl w:val="0"/>
          <w:numId w:val="113"/>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应针对不同岗位制定不同的培训计划，对安全基础知识、岗位操作规程等进行培训，应定期对不同岗位的人员进行技能考核；</w:t>
      </w:r>
    </w:p>
    <w:p>
      <w:pPr>
        <w:numPr>
          <w:ilvl w:val="0"/>
          <w:numId w:val="113"/>
        </w:numPr>
        <w:adjustRightInd/>
        <w:spacing w:line="240" w:lineRule="auto"/>
        <w:rPr>
          <w:rFonts w:ascii="Times New Roman" w:hAnsi="Times New Roman"/>
          <w:kern w:val="0"/>
          <w:szCs w:val="20"/>
          <w:highlight w:val="none"/>
        </w:rPr>
      </w:pPr>
      <w:r>
        <w:rPr>
          <w:rFonts w:ascii="Times New Roman" w:hAnsi="Times New Roman"/>
          <w:highlight w:val="none"/>
        </w:rPr>
        <w:t>获得系统访问授权的外部人员应签署保密协议，不得进行非授权操作，不得复制和泄露任何敏感信息；</w:t>
      </w:r>
    </w:p>
    <w:p>
      <w:pPr>
        <w:numPr>
          <w:ilvl w:val="0"/>
          <w:numId w:val="113"/>
        </w:numPr>
        <w:adjustRightInd/>
        <w:spacing w:line="240" w:lineRule="auto"/>
        <w:rPr>
          <w:rFonts w:ascii="Times New Roman" w:hAnsi="Times New Roman"/>
          <w:kern w:val="0"/>
          <w:szCs w:val="20"/>
          <w:highlight w:val="none"/>
        </w:rPr>
      </w:pPr>
      <w:r>
        <w:rPr>
          <w:rFonts w:ascii="Times New Roman" w:hAnsi="Times New Roman"/>
          <w:highlight w:val="none"/>
        </w:rPr>
        <w:t>对关键区域或关键系统不允许外部人员访问。</w:t>
      </w:r>
    </w:p>
    <w:p>
      <w:pPr>
        <w:pStyle w:val="97"/>
        <w:spacing w:before="156" w:after="156"/>
        <w:ind w:left="0"/>
        <w:rPr>
          <w:rFonts w:ascii="Times New Roman"/>
          <w:highlight w:val="none"/>
        </w:rPr>
      </w:pPr>
      <w:bookmarkStart w:id="156" w:name="_Toc102984603"/>
      <w:r>
        <w:rPr>
          <w:rFonts w:ascii="Times New Roman"/>
          <w:highlight w:val="none"/>
        </w:rPr>
        <w:t>安全建设管理要求</w:t>
      </w:r>
      <w:bookmarkEnd w:id="156"/>
    </w:p>
    <w:p>
      <w:pPr>
        <w:pStyle w:val="101"/>
        <w:spacing w:before="156" w:after="156"/>
        <w:ind w:left="0"/>
        <w:rPr>
          <w:rFonts w:ascii="Times New Roman"/>
          <w:highlight w:val="none"/>
        </w:rPr>
      </w:pPr>
      <w:r>
        <w:rPr>
          <w:rFonts w:ascii="Times New Roman"/>
          <w:highlight w:val="none"/>
        </w:rPr>
        <w:t>定级</w:t>
      </w:r>
    </w:p>
    <w:p>
      <w:pPr>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同基本级要求。</w:t>
      </w:r>
    </w:p>
    <w:p>
      <w:pPr>
        <w:pStyle w:val="101"/>
        <w:spacing w:before="156" w:after="156"/>
        <w:ind w:left="0"/>
        <w:rPr>
          <w:rFonts w:ascii="Times New Roman"/>
          <w:highlight w:val="none"/>
        </w:rPr>
      </w:pPr>
      <w:r>
        <w:rPr>
          <w:rFonts w:ascii="Times New Roman"/>
          <w:highlight w:val="none"/>
        </w:rPr>
        <w:t>安全方案设计</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1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应根据安全防护对象的防护需求及与其他防护对象的关系进行安全整体规划和安全方案设计，设计内容应包含密码相关内容，并形成配套文件；</w:t>
      </w:r>
    </w:p>
    <w:p>
      <w:pPr>
        <w:numPr>
          <w:ilvl w:val="0"/>
          <w:numId w:val="114"/>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应组织相关部门和有关安全专家对安全整体规划及其配套文件的合理性和正确性进行论证和审定，经过批准后才能正式实施。</w:t>
      </w:r>
    </w:p>
    <w:p>
      <w:pPr>
        <w:pStyle w:val="101"/>
        <w:spacing w:before="156" w:after="156"/>
        <w:ind w:left="0"/>
        <w:rPr>
          <w:rFonts w:ascii="Times New Roman"/>
          <w:highlight w:val="none"/>
        </w:rPr>
      </w:pPr>
      <w:r>
        <w:rPr>
          <w:rFonts w:ascii="Times New Roman"/>
          <w:highlight w:val="none"/>
        </w:rPr>
        <w:t>产品采购和使用</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1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应预先对产品进行选型测试，确定产品候选范围，并定期审定和更新候选产品名单；</w:t>
      </w:r>
    </w:p>
    <w:p>
      <w:pPr>
        <w:numPr>
          <w:ilvl w:val="0"/>
          <w:numId w:val="115"/>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应对重要部位的产品委托专业测评单位进行专项测试，根据测试结果选用产品。</w:t>
      </w:r>
    </w:p>
    <w:p>
      <w:pPr>
        <w:pStyle w:val="101"/>
        <w:spacing w:before="156" w:after="156"/>
        <w:ind w:left="0"/>
        <w:rPr>
          <w:rFonts w:ascii="Times New Roman"/>
          <w:highlight w:val="none"/>
        </w:rPr>
      </w:pPr>
      <w:r>
        <w:rPr>
          <w:rFonts w:ascii="Times New Roman"/>
          <w:highlight w:val="none"/>
        </w:rPr>
        <w:t>软件开发</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1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应制定软件开发管理制度，明确说明开发过程的控制方法和人员行为准则；</w:t>
      </w:r>
    </w:p>
    <w:p>
      <w:pPr>
        <w:numPr>
          <w:ilvl w:val="0"/>
          <w:numId w:val="11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应制定代码编写安全规范，要求开发人员参照规范编写代码；</w:t>
      </w:r>
    </w:p>
    <w:p>
      <w:pPr>
        <w:numPr>
          <w:ilvl w:val="0"/>
          <w:numId w:val="11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应确保具备软件设计的相关文档和使用指南，并对文档使用进行控制；</w:t>
      </w:r>
    </w:p>
    <w:p>
      <w:pPr>
        <w:numPr>
          <w:ilvl w:val="0"/>
          <w:numId w:val="11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应确保对程序资源库的修改、更新、发布进行授权和批准，并严格进行版本控制；</w:t>
      </w:r>
    </w:p>
    <w:p>
      <w:pPr>
        <w:numPr>
          <w:ilvl w:val="0"/>
          <w:numId w:val="11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应确保开发人员为专职人员，开发人员的开发活动受到控制、监视和审查；</w:t>
      </w:r>
    </w:p>
    <w:p>
      <w:pPr>
        <w:numPr>
          <w:ilvl w:val="0"/>
          <w:numId w:val="116"/>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应要求开发单位提供软件源代码，并审查软件中可能存在的后门和隐蔽信道。</w:t>
      </w:r>
    </w:p>
    <w:p>
      <w:pPr>
        <w:pStyle w:val="101"/>
        <w:spacing w:before="156" w:after="156"/>
        <w:ind w:left="0"/>
        <w:rPr>
          <w:rFonts w:ascii="Times New Roman"/>
          <w:highlight w:val="none"/>
        </w:rPr>
      </w:pPr>
      <w:r>
        <w:rPr>
          <w:rFonts w:ascii="Times New Roman"/>
          <w:highlight w:val="none"/>
        </w:rPr>
        <w:t>系统交付</w:t>
      </w:r>
    </w:p>
    <w:p>
      <w:pPr>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安全测试报告应包含密码应用安全性测试相关内容。</w:t>
      </w:r>
    </w:p>
    <w:p>
      <w:pPr>
        <w:pStyle w:val="101"/>
        <w:spacing w:before="156" w:after="156"/>
        <w:ind w:left="0"/>
        <w:rPr>
          <w:rFonts w:ascii="Times New Roman"/>
          <w:highlight w:val="none"/>
        </w:rPr>
      </w:pPr>
      <w:r>
        <w:rPr>
          <w:rFonts w:ascii="Times New Roman"/>
          <w:highlight w:val="none"/>
        </w:rPr>
        <w:t>服务供应商选择</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1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应定期评审和审核服务供应商提供的服务，并对其变更服务内容加以控制；</w:t>
      </w:r>
    </w:p>
    <w:p>
      <w:pPr>
        <w:numPr>
          <w:ilvl w:val="0"/>
          <w:numId w:val="117"/>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应与选定的服务供应商签署保密协议，要求其不得泄露客户数据和业务系统的相关重要信息；</w:t>
      </w:r>
    </w:p>
    <w:p>
      <w:pPr>
        <w:numPr>
          <w:ilvl w:val="0"/>
          <w:numId w:val="117"/>
        </w:numPr>
        <w:adjustRightInd/>
        <w:spacing w:line="240" w:lineRule="auto"/>
        <w:rPr>
          <w:rFonts w:ascii="Times New Roman" w:hAnsi="Times New Roman"/>
          <w:kern w:val="0"/>
          <w:szCs w:val="20"/>
          <w:highlight w:val="none"/>
        </w:rPr>
      </w:pPr>
      <w:r>
        <w:rPr>
          <w:rFonts w:ascii="Times New Roman" w:hAnsi="Times New Roman"/>
          <w:highlight w:val="none"/>
        </w:rPr>
        <w:t>应保证供应商的重要变更及时传达到客户，并评估变更带来的安全风险，采取有关措施对风险进行控制。</w:t>
      </w:r>
    </w:p>
    <w:p>
      <w:pPr>
        <w:pStyle w:val="97"/>
        <w:spacing w:before="156" w:after="156"/>
        <w:ind w:left="0"/>
        <w:rPr>
          <w:rFonts w:ascii="Times New Roman"/>
          <w:highlight w:val="none"/>
        </w:rPr>
      </w:pPr>
      <w:bookmarkStart w:id="157" w:name="_Toc102984604"/>
      <w:r>
        <w:rPr>
          <w:rFonts w:ascii="Times New Roman"/>
          <w:highlight w:val="none"/>
        </w:rPr>
        <w:t>安全运维管理要求</w:t>
      </w:r>
      <w:bookmarkEnd w:id="157"/>
    </w:p>
    <w:p>
      <w:pPr>
        <w:pStyle w:val="101"/>
        <w:spacing w:before="156" w:after="156"/>
        <w:ind w:left="0"/>
        <w:rPr>
          <w:rFonts w:ascii="Times New Roman"/>
          <w:highlight w:val="none"/>
        </w:rPr>
      </w:pPr>
      <w:r>
        <w:rPr>
          <w:rFonts w:ascii="Times New Roman"/>
          <w:highlight w:val="none"/>
        </w:rPr>
        <w:t>环境管理</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1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应对出入人员进行相应级别的授权，对进入重要安全区域的人员和活动实时监视等；</w:t>
      </w:r>
    </w:p>
    <w:p>
      <w:pPr>
        <w:numPr>
          <w:ilvl w:val="0"/>
          <w:numId w:val="118"/>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应加强对工业互联网设备部署环境的保密性管理，包括负责检查和维护的人员调离工作岗位应立即交还相关检查工具和检查维护记录等。</w:t>
      </w:r>
    </w:p>
    <w:p>
      <w:pPr>
        <w:pStyle w:val="101"/>
        <w:spacing w:before="156" w:after="156"/>
        <w:ind w:left="0"/>
        <w:rPr>
          <w:rFonts w:ascii="Times New Roman"/>
          <w:highlight w:val="none"/>
        </w:rPr>
      </w:pPr>
      <w:r>
        <w:rPr>
          <w:rFonts w:ascii="Times New Roman"/>
          <w:highlight w:val="none"/>
        </w:rPr>
        <w:t>资产管理</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1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应根据资产的重要程度对资产进行标识管理，根据资产的价值选择相应的管理措施；</w:t>
      </w:r>
    </w:p>
    <w:p>
      <w:pPr>
        <w:numPr>
          <w:ilvl w:val="0"/>
          <w:numId w:val="11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应对信息分类与标识方法作出规定，并对信息的使用、传输和存储等进行规范化管理；</w:t>
      </w:r>
    </w:p>
    <w:p>
      <w:pPr>
        <w:numPr>
          <w:ilvl w:val="0"/>
          <w:numId w:val="11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应确保信息处理设备必须经过审批才能带离机房或办公地点，含有存储介质的设备带出工作环境时其中重要数据必须加密；</w:t>
      </w:r>
    </w:p>
    <w:p>
      <w:pPr>
        <w:numPr>
          <w:ilvl w:val="0"/>
          <w:numId w:val="11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含有存储介质的设备在报废或重用前，应进行完全清除或被安全覆盖，确保该设备上的敏感数据和授权软件无法被恢复重用；</w:t>
      </w:r>
    </w:p>
    <w:p>
      <w:pPr>
        <w:numPr>
          <w:ilvl w:val="0"/>
          <w:numId w:val="11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应建立资产变更的申报和审批程序，依据程序控制所有的变更，记录变更实施过程；</w:t>
      </w:r>
    </w:p>
    <w:p>
      <w:pPr>
        <w:numPr>
          <w:ilvl w:val="0"/>
          <w:numId w:val="119"/>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应建立中止资产变更并从失败变更中恢复的程序，明确过程控制方法和人员职责，必要时对恢复过程进行演练。</w:t>
      </w:r>
    </w:p>
    <w:p>
      <w:pPr>
        <w:pStyle w:val="101"/>
        <w:spacing w:before="156" w:after="156"/>
        <w:ind w:left="0"/>
        <w:rPr>
          <w:rFonts w:ascii="Times New Roman"/>
          <w:highlight w:val="none"/>
        </w:rPr>
      </w:pPr>
      <w:r>
        <w:rPr>
          <w:rFonts w:ascii="Times New Roman"/>
          <w:highlight w:val="none"/>
        </w:rPr>
        <w:t>安全审计</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2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应能对远程访问企业内部网络的用户行为进行行为审计和数据分析；</w:t>
      </w:r>
    </w:p>
    <w:p>
      <w:pPr>
        <w:numPr>
          <w:ilvl w:val="0"/>
          <w:numId w:val="12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应对审计进程进行保护，防止未经授权的中断；</w:t>
      </w:r>
    </w:p>
    <w:p>
      <w:pPr>
        <w:numPr>
          <w:ilvl w:val="0"/>
          <w:numId w:val="120"/>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审计记录的留存时间应不少于6个月。</w:t>
      </w:r>
    </w:p>
    <w:p>
      <w:pPr>
        <w:pStyle w:val="101"/>
        <w:spacing w:before="156" w:after="156"/>
        <w:ind w:left="0"/>
        <w:rPr>
          <w:rFonts w:ascii="Times New Roman"/>
          <w:highlight w:val="none"/>
        </w:rPr>
      </w:pPr>
      <w:r>
        <w:rPr>
          <w:rFonts w:ascii="Times New Roman"/>
          <w:highlight w:val="none"/>
        </w:rPr>
        <w:t>配置管理</w:t>
      </w:r>
    </w:p>
    <w:p>
      <w:pPr>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应将基本配置信息改变纳入变更范畴，实施对配置信息改变的控制，并及时更新基本配置信息库。</w:t>
      </w:r>
    </w:p>
    <w:p>
      <w:pPr>
        <w:pStyle w:val="101"/>
        <w:spacing w:before="156" w:after="156"/>
        <w:ind w:left="0"/>
        <w:rPr>
          <w:rFonts w:ascii="Times New Roman"/>
          <w:highlight w:val="none"/>
        </w:rPr>
      </w:pPr>
      <w:r>
        <w:rPr>
          <w:rFonts w:ascii="Times New Roman"/>
          <w:highlight w:val="none"/>
        </w:rPr>
        <w:t>安全事件处置</w:t>
      </w:r>
    </w:p>
    <w:p>
      <w:pPr>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除满足基本级防护要求之外，还应符合以下要求：</w:t>
      </w:r>
    </w:p>
    <w:p>
      <w:pPr>
        <w:adjustRightInd/>
        <w:spacing w:line="240" w:lineRule="auto"/>
        <w:ind w:firstLine="420" w:firstLineChars="200"/>
        <w:rPr>
          <w:rFonts w:ascii="Times New Roman" w:hAnsi="Times New Roman"/>
          <w:kern w:val="0"/>
          <w:szCs w:val="20"/>
          <w:highlight w:val="none"/>
        </w:rPr>
      </w:pPr>
      <w:r>
        <w:rPr>
          <w:rFonts w:ascii="Times New Roman" w:hAnsi="Times New Roman"/>
          <w:kern w:val="0"/>
          <w:szCs w:val="20"/>
          <w:highlight w:val="none"/>
        </w:rPr>
        <w:t>对造成业务中断和造成信息泄漏的重大安全事件应采用不同的处理程序和报告程序。</w:t>
      </w:r>
    </w:p>
    <w:p>
      <w:pPr>
        <w:pStyle w:val="101"/>
        <w:spacing w:before="156" w:after="156"/>
        <w:ind w:left="0"/>
        <w:rPr>
          <w:rFonts w:ascii="Times New Roman"/>
          <w:highlight w:val="none"/>
        </w:rPr>
      </w:pPr>
      <w:r>
        <w:rPr>
          <w:rFonts w:ascii="Times New Roman"/>
          <w:highlight w:val="none"/>
        </w:rPr>
        <w:t>应急工作</w:t>
      </w:r>
    </w:p>
    <w:p>
      <w:pPr>
        <w:adjustRightInd/>
        <w:spacing w:line="240" w:lineRule="auto"/>
        <w:rPr>
          <w:rFonts w:ascii="Times New Roman" w:hAnsi="Times New Roman"/>
          <w:kern w:val="0"/>
          <w:szCs w:val="20"/>
          <w:highlight w:val="none"/>
        </w:rPr>
      </w:pPr>
      <w:r>
        <w:rPr>
          <w:rFonts w:ascii="Times New Roman" w:hAnsi="Times New Roman"/>
          <w:kern w:val="0"/>
          <w:szCs w:val="20"/>
          <w:highlight w:val="none"/>
        </w:rPr>
        <w:t xml:space="preserve">    除满足基本级防护要求之外，还应符合以下要求：</w:t>
      </w:r>
    </w:p>
    <w:p>
      <w:pPr>
        <w:numPr>
          <w:ilvl w:val="0"/>
          <w:numId w:val="121"/>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应规定统一的应急预案框架，具体包括启动预案的条件、应急组织构成、应急资源保障、事后教育和培训等内容；</w:t>
      </w:r>
    </w:p>
    <w:p>
      <w:pPr>
        <w:numPr>
          <w:ilvl w:val="0"/>
          <w:numId w:val="121"/>
        </w:numPr>
        <w:adjustRightInd/>
        <w:spacing w:line="240" w:lineRule="auto"/>
        <w:rPr>
          <w:rFonts w:ascii="Times New Roman" w:hAnsi="Times New Roman"/>
          <w:kern w:val="0"/>
          <w:szCs w:val="20"/>
          <w:highlight w:val="none"/>
        </w:rPr>
      </w:pPr>
      <w:r>
        <w:rPr>
          <w:rFonts w:ascii="Times New Roman" w:hAnsi="Times New Roman"/>
          <w:kern w:val="0"/>
          <w:szCs w:val="20"/>
          <w:highlight w:val="none"/>
        </w:rPr>
        <w:t>应定期开展网络安全应急演练，检验应急预案的可操作性，并结合应急演练结果，对应急预案进行评估和适用性修订；</w:t>
      </w:r>
    </w:p>
    <w:p>
      <w:pPr>
        <w:numPr>
          <w:ilvl w:val="0"/>
          <w:numId w:val="121"/>
        </w:numPr>
        <w:adjustRightInd/>
        <w:spacing w:line="240" w:lineRule="auto"/>
        <w:rPr>
          <w:rFonts w:ascii="Times New Roman" w:hAnsi="Times New Roman"/>
          <w:kern w:val="0"/>
          <w:szCs w:val="20"/>
          <w:highlight w:val="none"/>
        </w:rPr>
      </w:pPr>
      <w:r>
        <w:rPr>
          <w:rFonts w:ascii="Times New Roman" w:hAnsi="Times New Roman"/>
          <w:highlight w:val="none"/>
        </w:rPr>
        <w:t>应在与外包运维服务商签订的协议中明确所有相关的安全要求。如可能涉及对敏感信息的访问、处理、存储要求，对基础设施中断服务的应急保障要求等。</w:t>
      </w:r>
    </w:p>
    <w:p>
      <w:pPr>
        <w:pStyle w:val="68"/>
        <w:spacing w:before="156" w:after="156"/>
        <w:rPr>
          <w:rFonts w:ascii="Times New Roman"/>
          <w:highlight w:val="none"/>
        </w:rPr>
      </w:pPr>
      <w:bookmarkStart w:id="158" w:name="_Toc102984605"/>
      <w:bookmarkStart w:id="159" w:name="_Toc102992501"/>
      <w:r>
        <w:rPr>
          <w:rFonts w:ascii="Times New Roman"/>
          <w:highlight w:val="none"/>
        </w:rPr>
        <w:t>物理和环境安全要求</w:t>
      </w:r>
      <w:bookmarkEnd w:id="158"/>
      <w:bookmarkEnd w:id="159"/>
    </w:p>
    <w:p>
      <w:pPr>
        <w:pStyle w:val="97"/>
        <w:spacing w:before="156" w:after="156"/>
        <w:ind w:left="0"/>
        <w:rPr>
          <w:rFonts w:ascii="Times New Roman"/>
          <w:highlight w:val="none"/>
        </w:rPr>
      </w:pPr>
      <w:bookmarkStart w:id="160" w:name="_Toc102984606"/>
      <w:r>
        <w:rPr>
          <w:rFonts w:ascii="Times New Roman"/>
          <w:highlight w:val="none"/>
        </w:rPr>
        <w:t>物理位置选择</w:t>
      </w:r>
      <w:bookmarkEnd w:id="160"/>
    </w:p>
    <w:p>
      <w:pPr>
        <w:adjustRightInd/>
        <w:spacing w:line="240" w:lineRule="auto"/>
        <w:rPr>
          <w:rFonts w:ascii="Times New Roman" w:hAnsi="Times New Roman"/>
          <w:color w:val="000008"/>
          <w:szCs w:val="22"/>
          <w:highlight w:val="none"/>
        </w:rPr>
      </w:pPr>
      <w:r>
        <w:rPr>
          <w:rFonts w:ascii="Times New Roman" w:hAnsi="Times New Roman"/>
          <w:color w:val="000008"/>
          <w:szCs w:val="22"/>
          <w:highlight w:val="none"/>
        </w:rPr>
        <w:t xml:space="preserve">    除满足基本级防护要求之外，还应符合以下要求：</w:t>
      </w:r>
    </w:p>
    <w:p>
      <w:pPr>
        <w:numPr>
          <w:ilvl w:val="0"/>
          <w:numId w:val="122"/>
        </w:numPr>
        <w:adjustRightInd/>
        <w:spacing w:line="240" w:lineRule="auto"/>
        <w:rPr>
          <w:rFonts w:ascii="Times New Roman" w:hAnsi="Times New Roman"/>
          <w:color w:val="000008"/>
          <w:szCs w:val="22"/>
          <w:highlight w:val="none"/>
        </w:rPr>
      </w:pPr>
      <w:r>
        <w:rPr>
          <w:rFonts w:ascii="Times New Roman" w:hAnsi="Times New Roman"/>
          <w:color w:val="000008"/>
          <w:szCs w:val="22"/>
          <w:highlight w:val="none"/>
        </w:rPr>
        <w:t>在机房选址及设计时，满足GB 50174-2017的相关规定；</w:t>
      </w:r>
    </w:p>
    <w:p>
      <w:pPr>
        <w:numPr>
          <w:ilvl w:val="0"/>
          <w:numId w:val="122"/>
        </w:numPr>
        <w:adjustRightInd/>
        <w:spacing w:line="240" w:lineRule="auto"/>
        <w:rPr>
          <w:rFonts w:ascii="Times New Roman" w:hAnsi="Times New Roman"/>
          <w:color w:val="000008"/>
          <w:szCs w:val="22"/>
          <w:highlight w:val="none"/>
        </w:rPr>
      </w:pPr>
      <w:r>
        <w:rPr>
          <w:rFonts w:ascii="Times New Roman" w:hAnsi="Times New Roman"/>
          <w:color w:val="000008"/>
          <w:szCs w:val="22"/>
          <w:highlight w:val="none"/>
        </w:rPr>
        <w:t>确保工业互联网平台服务器及运行关键业务和数据的物理设备位于境内。</w:t>
      </w:r>
    </w:p>
    <w:p>
      <w:pPr>
        <w:pStyle w:val="97"/>
        <w:spacing w:before="156" w:after="156"/>
        <w:ind w:left="0"/>
        <w:rPr>
          <w:rFonts w:ascii="Times New Roman"/>
          <w:highlight w:val="none"/>
        </w:rPr>
      </w:pPr>
      <w:bookmarkStart w:id="161" w:name="_Toc102984607"/>
      <w:r>
        <w:rPr>
          <w:rFonts w:ascii="Times New Roman"/>
          <w:highlight w:val="none"/>
        </w:rPr>
        <w:t>物理访问控制</w:t>
      </w:r>
      <w:bookmarkEnd w:id="161"/>
    </w:p>
    <w:p>
      <w:pPr>
        <w:pStyle w:val="59"/>
        <w:ind w:firstLine="420"/>
        <w:rPr>
          <w:rFonts w:ascii="Times New Roman"/>
          <w:highlight w:val="none"/>
        </w:rPr>
      </w:pPr>
      <w:r>
        <w:rPr>
          <w:rFonts w:ascii="Times New Roman"/>
          <w:highlight w:val="none"/>
        </w:rPr>
        <w:t>除满足基本级防护要求之外，还应符合以下要求：</w:t>
      </w:r>
    </w:p>
    <w:p>
      <w:pPr>
        <w:pStyle w:val="177"/>
        <w:numPr>
          <w:ilvl w:val="0"/>
          <w:numId w:val="0"/>
        </w:numPr>
        <w:tabs>
          <w:tab w:val="left" w:pos="426"/>
          <w:tab w:val="clear" w:pos="851"/>
        </w:tabs>
        <w:ind w:left="426" w:hanging="1"/>
        <w:rPr>
          <w:rFonts w:ascii="Times New Roman"/>
          <w:highlight w:val="none"/>
        </w:rPr>
      </w:pPr>
      <w:r>
        <w:rPr>
          <w:rFonts w:ascii="Times New Roman"/>
          <w:highlight w:val="none"/>
        </w:rPr>
        <w:t>应对机房划分区域并在不同区域之间设置物理隔离装置，在重要区域前设置交付或安装等过渡区域。</w:t>
      </w:r>
    </w:p>
    <w:p>
      <w:pPr>
        <w:pStyle w:val="97"/>
        <w:spacing w:before="156" w:after="156"/>
        <w:ind w:left="0"/>
        <w:rPr>
          <w:rFonts w:ascii="Times New Roman"/>
          <w:highlight w:val="none"/>
        </w:rPr>
      </w:pPr>
      <w:bookmarkStart w:id="162" w:name="_Toc102984608"/>
      <w:r>
        <w:rPr>
          <w:rFonts w:ascii="Times New Roman"/>
          <w:highlight w:val="none"/>
        </w:rPr>
        <w:t>防盗窃和放破坏</w:t>
      </w:r>
      <w:bookmarkEnd w:id="162"/>
    </w:p>
    <w:p>
      <w:pPr>
        <w:pStyle w:val="59"/>
        <w:ind w:firstLine="420"/>
        <w:rPr>
          <w:rFonts w:ascii="Times New Roman"/>
          <w:highlight w:val="none"/>
        </w:rPr>
      </w:pPr>
      <w:r>
        <w:rPr>
          <w:rFonts w:ascii="Times New Roman"/>
          <w:highlight w:val="none"/>
        </w:rPr>
        <w:t>除满足基本级防护要求之外，还应符合以下要求：</w:t>
      </w:r>
    </w:p>
    <w:p>
      <w:pPr>
        <w:pStyle w:val="177"/>
        <w:numPr>
          <w:ilvl w:val="0"/>
          <w:numId w:val="0"/>
        </w:numPr>
        <w:ind w:left="851" w:hanging="426"/>
        <w:rPr>
          <w:rFonts w:ascii="Times New Roman"/>
          <w:highlight w:val="none"/>
        </w:rPr>
      </w:pPr>
      <w:r>
        <w:rPr>
          <w:rFonts w:ascii="Times New Roman"/>
          <w:highlight w:val="none"/>
        </w:rPr>
        <w:t>应对机房设置监控报警系统。</w:t>
      </w:r>
    </w:p>
    <w:p>
      <w:pPr>
        <w:pStyle w:val="97"/>
        <w:spacing w:before="156" w:after="156"/>
        <w:ind w:left="0"/>
        <w:rPr>
          <w:rFonts w:ascii="Times New Roman"/>
          <w:highlight w:val="none"/>
        </w:rPr>
      </w:pPr>
      <w:bookmarkStart w:id="163" w:name="_Toc102984609"/>
      <w:r>
        <w:rPr>
          <w:rFonts w:ascii="Times New Roman"/>
          <w:highlight w:val="none"/>
        </w:rPr>
        <w:t>防雷击</w:t>
      </w:r>
      <w:bookmarkEnd w:id="163"/>
      <w:bookmarkStart w:id="172" w:name="_GoBack"/>
      <w:bookmarkEnd w:id="172"/>
    </w:p>
    <w:p>
      <w:pPr>
        <w:pStyle w:val="59"/>
        <w:ind w:firstLine="420"/>
        <w:rPr>
          <w:rFonts w:ascii="Times New Roman"/>
          <w:highlight w:val="none"/>
        </w:rPr>
      </w:pPr>
      <w:r>
        <w:rPr>
          <w:rFonts w:ascii="Times New Roman"/>
          <w:highlight w:val="none"/>
        </w:rPr>
        <w:t>同基本级要求。</w:t>
      </w:r>
    </w:p>
    <w:p>
      <w:pPr>
        <w:pStyle w:val="97"/>
        <w:spacing w:before="156" w:after="156"/>
        <w:ind w:left="0"/>
        <w:rPr>
          <w:rFonts w:ascii="Times New Roman"/>
          <w:highlight w:val="none"/>
        </w:rPr>
      </w:pPr>
      <w:bookmarkStart w:id="164" w:name="_Toc102984610"/>
      <w:r>
        <w:rPr>
          <w:rFonts w:ascii="Times New Roman"/>
          <w:highlight w:val="none"/>
        </w:rPr>
        <w:t>防火</w:t>
      </w:r>
      <w:bookmarkEnd w:id="164"/>
    </w:p>
    <w:p>
      <w:pPr>
        <w:pStyle w:val="59"/>
        <w:ind w:firstLine="420"/>
        <w:rPr>
          <w:rFonts w:ascii="Times New Roman"/>
          <w:highlight w:val="none"/>
        </w:rPr>
      </w:pPr>
      <w:r>
        <w:rPr>
          <w:rFonts w:ascii="Times New Roman"/>
          <w:highlight w:val="none"/>
        </w:rPr>
        <w:t>除满足基本级防护要求之外，还应符合以下要求：</w:t>
      </w:r>
    </w:p>
    <w:p>
      <w:pPr>
        <w:numPr>
          <w:ilvl w:val="0"/>
          <w:numId w:val="123"/>
        </w:numPr>
        <w:adjustRightInd/>
        <w:spacing w:line="240" w:lineRule="auto"/>
        <w:rPr>
          <w:rFonts w:ascii="Times New Roman" w:hAnsi="Times New Roman"/>
          <w:color w:val="000008"/>
          <w:szCs w:val="22"/>
          <w:highlight w:val="none"/>
        </w:rPr>
      </w:pPr>
      <w:r>
        <w:rPr>
          <w:rFonts w:ascii="Times New Roman" w:hAnsi="Times New Roman"/>
          <w:color w:val="000008"/>
          <w:szCs w:val="22"/>
          <w:highlight w:val="none"/>
        </w:rPr>
        <w:t>机房及工业互联网平台相关设备放置场地应设置灭火设备和火灾自动报警系统，能够自动检测火情、自动报警，并自动灭火；</w:t>
      </w:r>
    </w:p>
    <w:p>
      <w:pPr>
        <w:numPr>
          <w:ilvl w:val="0"/>
          <w:numId w:val="123"/>
        </w:numPr>
        <w:adjustRightInd/>
        <w:spacing w:line="240" w:lineRule="auto"/>
        <w:rPr>
          <w:rFonts w:ascii="Times New Roman" w:hAnsi="Times New Roman"/>
          <w:color w:val="000008"/>
          <w:szCs w:val="22"/>
          <w:highlight w:val="none"/>
        </w:rPr>
      </w:pPr>
      <w:r>
        <w:rPr>
          <w:rFonts w:ascii="Times New Roman" w:hAnsi="Times New Roman"/>
          <w:color w:val="000008"/>
          <w:szCs w:val="22"/>
          <w:highlight w:val="none"/>
        </w:rPr>
        <w:t>机房及相关的工作房间和辅助房应采用具有耐火等级的建筑材料。</w:t>
      </w:r>
    </w:p>
    <w:p>
      <w:pPr>
        <w:pStyle w:val="97"/>
        <w:spacing w:before="156" w:after="156"/>
        <w:ind w:left="0"/>
        <w:rPr>
          <w:rFonts w:ascii="Times New Roman"/>
          <w:highlight w:val="none"/>
        </w:rPr>
      </w:pPr>
      <w:bookmarkStart w:id="165" w:name="_Toc102984611"/>
      <w:r>
        <w:rPr>
          <w:rFonts w:ascii="Times New Roman"/>
          <w:highlight w:val="none"/>
        </w:rPr>
        <w:t>防水和防潮</w:t>
      </w:r>
      <w:bookmarkEnd w:id="165"/>
    </w:p>
    <w:p>
      <w:pPr>
        <w:pStyle w:val="59"/>
        <w:ind w:firstLine="420"/>
        <w:rPr>
          <w:rFonts w:ascii="Times New Roman"/>
          <w:highlight w:val="none"/>
        </w:rPr>
      </w:pPr>
      <w:r>
        <w:rPr>
          <w:rFonts w:ascii="Times New Roman"/>
          <w:highlight w:val="none"/>
        </w:rPr>
        <w:t>除满足基本级防护要求之外，还应符合以下要求：</w:t>
      </w:r>
    </w:p>
    <w:p>
      <w:pPr>
        <w:pStyle w:val="177"/>
        <w:numPr>
          <w:ilvl w:val="0"/>
          <w:numId w:val="0"/>
        </w:numPr>
        <w:ind w:left="851" w:hanging="426"/>
        <w:rPr>
          <w:rFonts w:ascii="Times New Roman"/>
          <w:highlight w:val="none"/>
        </w:rPr>
      </w:pPr>
      <w:r>
        <w:rPr>
          <w:rFonts w:ascii="Times New Roman"/>
          <w:highlight w:val="none"/>
        </w:rPr>
        <w:t>应安装对水敏感的检测仪表或元件，对机房及工业互联网平台相关设备放置场地进行防水检测。</w:t>
      </w:r>
    </w:p>
    <w:p>
      <w:pPr>
        <w:pStyle w:val="97"/>
        <w:spacing w:before="156" w:after="156"/>
        <w:ind w:left="0"/>
        <w:rPr>
          <w:rFonts w:ascii="Times New Roman"/>
          <w:highlight w:val="none"/>
        </w:rPr>
      </w:pPr>
      <w:bookmarkStart w:id="166" w:name="_Toc102984612"/>
      <w:r>
        <w:rPr>
          <w:rFonts w:ascii="Times New Roman"/>
          <w:highlight w:val="none"/>
        </w:rPr>
        <w:t>防静电</w:t>
      </w:r>
      <w:bookmarkEnd w:id="166"/>
    </w:p>
    <w:p>
      <w:pPr>
        <w:pStyle w:val="59"/>
        <w:ind w:firstLine="420"/>
        <w:rPr>
          <w:rFonts w:ascii="Times New Roman"/>
          <w:highlight w:val="none"/>
        </w:rPr>
      </w:pPr>
      <w:r>
        <w:rPr>
          <w:rFonts w:ascii="Times New Roman"/>
          <w:highlight w:val="none"/>
        </w:rPr>
        <w:t>除满足基本级防护要求之外，还应符合以下要求：</w:t>
      </w:r>
    </w:p>
    <w:p>
      <w:pPr>
        <w:pStyle w:val="59"/>
        <w:ind w:firstLine="420"/>
        <w:rPr>
          <w:rFonts w:ascii="Times New Roman"/>
          <w:highlight w:val="none"/>
        </w:rPr>
      </w:pPr>
      <w:r>
        <w:rPr>
          <w:rFonts w:ascii="Times New Roman"/>
          <w:highlight w:val="none"/>
        </w:rPr>
        <w:t>应采取措施防止静电的产生，例如采用静电消除器、佩戴防静电手环等。</w:t>
      </w:r>
    </w:p>
    <w:p>
      <w:pPr>
        <w:pStyle w:val="97"/>
        <w:spacing w:before="156" w:after="156"/>
        <w:ind w:left="0"/>
        <w:rPr>
          <w:rFonts w:ascii="Times New Roman"/>
          <w:highlight w:val="none"/>
        </w:rPr>
      </w:pPr>
      <w:bookmarkStart w:id="167" w:name="_Toc102984613"/>
      <w:r>
        <w:rPr>
          <w:rFonts w:ascii="Times New Roman"/>
          <w:highlight w:val="none"/>
        </w:rPr>
        <w:t>温湿度控制</w:t>
      </w:r>
      <w:bookmarkEnd w:id="167"/>
    </w:p>
    <w:p>
      <w:pPr>
        <w:pStyle w:val="59"/>
        <w:ind w:firstLine="420"/>
        <w:rPr>
          <w:rFonts w:ascii="Times New Roman"/>
          <w:highlight w:val="none"/>
        </w:rPr>
      </w:pPr>
      <w:r>
        <w:rPr>
          <w:rFonts w:ascii="Times New Roman"/>
          <w:highlight w:val="none"/>
        </w:rPr>
        <w:t>同基本级要求。</w:t>
      </w:r>
    </w:p>
    <w:p>
      <w:pPr>
        <w:pStyle w:val="97"/>
        <w:spacing w:before="156" w:after="156"/>
        <w:ind w:left="0"/>
        <w:rPr>
          <w:rFonts w:ascii="Times New Roman"/>
          <w:highlight w:val="none"/>
        </w:rPr>
      </w:pPr>
      <w:bookmarkStart w:id="168" w:name="_Toc102984614"/>
      <w:r>
        <w:rPr>
          <w:rFonts w:ascii="Times New Roman"/>
          <w:highlight w:val="none"/>
        </w:rPr>
        <w:t>电力供应</w:t>
      </w:r>
      <w:bookmarkEnd w:id="168"/>
    </w:p>
    <w:p>
      <w:pPr>
        <w:pStyle w:val="59"/>
        <w:ind w:firstLine="420"/>
        <w:rPr>
          <w:rFonts w:ascii="Times New Roman"/>
          <w:highlight w:val="none"/>
        </w:rPr>
      </w:pPr>
      <w:r>
        <w:rPr>
          <w:rFonts w:ascii="Times New Roman"/>
          <w:highlight w:val="none"/>
        </w:rPr>
        <w:t>除满足基本级防护要求之外，还应符合以下要求：</w:t>
      </w:r>
    </w:p>
    <w:p>
      <w:pPr>
        <w:pStyle w:val="59"/>
        <w:ind w:firstLine="420"/>
        <w:rPr>
          <w:rFonts w:ascii="Times New Roman"/>
          <w:highlight w:val="none"/>
        </w:rPr>
      </w:pPr>
      <w:r>
        <w:rPr>
          <w:rFonts w:ascii="Times New Roman"/>
          <w:highlight w:val="none"/>
        </w:rPr>
        <w:t>应设置冗余或并行的电力电缆线路为工业互联网平台企业相关系统供电。</w:t>
      </w:r>
    </w:p>
    <w:p>
      <w:pPr>
        <w:pStyle w:val="97"/>
        <w:spacing w:before="156" w:after="156"/>
        <w:ind w:left="0"/>
        <w:rPr>
          <w:rFonts w:ascii="Times New Roman"/>
          <w:highlight w:val="none"/>
        </w:rPr>
      </w:pPr>
      <w:bookmarkStart w:id="169" w:name="_Toc102984615"/>
      <w:r>
        <w:rPr>
          <w:rFonts w:ascii="Times New Roman"/>
          <w:highlight w:val="none"/>
        </w:rPr>
        <w:t>电磁防护</w:t>
      </w:r>
      <w:bookmarkEnd w:id="169"/>
    </w:p>
    <w:p>
      <w:pPr>
        <w:pStyle w:val="59"/>
        <w:ind w:firstLine="420"/>
        <w:rPr>
          <w:rFonts w:ascii="Times New Roman"/>
          <w:highlight w:val="none"/>
        </w:rPr>
      </w:pPr>
      <w:r>
        <w:rPr>
          <w:rFonts w:ascii="Times New Roman"/>
          <w:highlight w:val="none"/>
        </w:rPr>
        <w:t>除满足基本级防护要求之外，还应符合以下要求：</w:t>
      </w:r>
    </w:p>
    <w:p>
      <w:pPr>
        <w:pStyle w:val="59"/>
        <w:ind w:firstLine="420"/>
        <w:rPr>
          <w:rFonts w:ascii="Times New Roman"/>
          <w:color w:val="000008"/>
          <w:szCs w:val="22"/>
          <w:highlight w:val="none"/>
        </w:rPr>
      </w:pPr>
      <w:r>
        <w:rPr>
          <w:rFonts w:ascii="Times New Roman"/>
          <w:highlight w:val="none"/>
        </w:rPr>
        <w:t>应对工业互联网平台关键设备实施电磁屏蔽</w:t>
      </w:r>
      <w:r>
        <w:rPr>
          <w:rFonts w:ascii="Times New Roman"/>
          <w:color w:val="000008"/>
          <w:szCs w:val="22"/>
          <w:highlight w:val="none"/>
        </w:rPr>
        <w:t>。</w:t>
      </w:r>
    </w:p>
    <w:bookmarkEnd w:id="25"/>
    <w:p>
      <w:pPr>
        <w:rPr>
          <w:rFonts w:ascii="Times New Roman" w:hAnsi="Times New Roman"/>
          <w:color w:val="000008"/>
          <w:szCs w:val="22"/>
          <w:highlight w:val="none"/>
        </w:rPr>
        <w:sectPr>
          <w:pgSz w:w="11906" w:h="16838"/>
          <w:pgMar w:top="2410" w:right="1134" w:bottom="1134" w:left="1134" w:header="1418" w:footer="1134" w:gutter="284"/>
          <w:pgNumType w:start="1"/>
          <w:cols w:space="425" w:num="1"/>
          <w:formProt w:val="0"/>
          <w:docGrid w:type="lines" w:linePitch="312" w:charSpace="0"/>
        </w:sectPr>
      </w:pPr>
      <w:bookmarkStart w:id="170" w:name="BookMark6"/>
    </w:p>
    <w:p>
      <w:pPr>
        <w:pStyle w:val="66"/>
        <w:spacing w:before="124" w:after="156"/>
        <w:rPr>
          <w:rFonts w:ascii="Times New Roman" w:hAnsi="Times New Roman"/>
          <w:highlight w:val="none"/>
        </w:rPr>
      </w:pPr>
      <w:bookmarkStart w:id="171" w:name="_Toc104671596"/>
      <w:r>
        <w:rPr>
          <w:rFonts w:ascii="Times New Roman" w:hAnsi="Times New Roman"/>
          <w:spacing w:val="105"/>
          <w:highlight w:val="none"/>
        </w:rPr>
        <w:t>参考文</w:t>
      </w:r>
      <w:r>
        <w:rPr>
          <w:rFonts w:ascii="Times New Roman" w:hAnsi="Times New Roman"/>
          <w:highlight w:val="none"/>
        </w:rPr>
        <w:t>献</w:t>
      </w:r>
      <w:bookmarkEnd w:id="171"/>
    </w:p>
    <w:p>
      <w:pPr>
        <w:pStyle w:val="59"/>
        <w:ind w:firstLine="420"/>
        <w:rPr>
          <w:rFonts w:ascii="Times New Roman"/>
          <w:highlight w:val="none"/>
        </w:rPr>
      </w:pPr>
    </w:p>
    <w:p>
      <w:pPr>
        <w:pStyle w:val="59"/>
        <w:ind w:firstLine="420"/>
        <w:rPr>
          <w:rFonts w:ascii="Times New Roman"/>
          <w:highlight w:val="none"/>
        </w:rPr>
      </w:pPr>
      <w:r>
        <w:rPr>
          <w:rFonts w:ascii="Times New Roman"/>
          <w:highlight w:val="none"/>
        </w:rPr>
        <w:t>《工业互联网企业网络安全分类分级管理指南》（试行）</w:t>
      </w:r>
    </w:p>
    <w:p>
      <w:pPr>
        <w:pStyle w:val="59"/>
        <w:ind w:firstLine="420"/>
        <w:rPr>
          <w:rFonts w:ascii="Times New Roman"/>
          <w:highlight w:val="none"/>
        </w:rPr>
      </w:pPr>
    </w:p>
    <w:p>
      <w:pPr>
        <w:rPr>
          <w:rFonts w:ascii="Times New Roman" w:hAnsi="Times New Roman"/>
          <w:color w:val="000008"/>
          <w:szCs w:val="22"/>
          <w:highlight w:val="none"/>
        </w:rPr>
      </w:pPr>
    </w:p>
    <w:bookmarkEnd w:id="170"/>
    <w:p>
      <w:pPr>
        <w:rPr>
          <w:rFonts w:ascii="Times New Roman" w:hAnsi="Times New Roman"/>
          <w:color w:val="000008"/>
          <w:szCs w:val="22"/>
          <w:highlight w:val="none"/>
        </w:rPr>
      </w:pPr>
    </w:p>
    <w:sectPr>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spacing w:after="0"/>
    </w:pPr>
    <w:r>
      <w:fldChar w:fldCharType="begin"/>
    </w:r>
    <w:r>
      <w:instrText xml:space="preserve"> STYLEREF  标准文件_文件编号  \* MERGEFORMAT </w:instrText>
    </w:r>
    <w:r>
      <w:fldChar w:fldCharType="separate"/>
    </w:r>
    <w:r>
      <w:t>GB/T XXXXX—XXXX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5235E"/>
    <w:multiLevelType w:val="multilevel"/>
    <w:tmpl w:val="0085235E"/>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4462703"/>
    <w:multiLevelType w:val="multilevel"/>
    <w:tmpl w:val="04462703"/>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45C7166"/>
    <w:multiLevelType w:val="multilevel"/>
    <w:tmpl w:val="045C7166"/>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049D17EF"/>
    <w:multiLevelType w:val="multilevel"/>
    <w:tmpl w:val="049D17EF"/>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05FD68E6"/>
    <w:multiLevelType w:val="multilevel"/>
    <w:tmpl w:val="05FD68E6"/>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6424781"/>
    <w:multiLevelType w:val="multilevel"/>
    <w:tmpl w:val="06424781"/>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9">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0">
    <w:nsid w:val="089D179F"/>
    <w:multiLevelType w:val="multilevel"/>
    <w:tmpl w:val="089D179F"/>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8BF34C3"/>
    <w:multiLevelType w:val="multilevel"/>
    <w:tmpl w:val="08BF34C3"/>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92B6789"/>
    <w:multiLevelType w:val="multilevel"/>
    <w:tmpl w:val="092B6789"/>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09FD5CA8"/>
    <w:multiLevelType w:val="multilevel"/>
    <w:tmpl w:val="09FD5CA8"/>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0C6A673B"/>
    <w:multiLevelType w:val="multilevel"/>
    <w:tmpl w:val="0C6A673B"/>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7">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18">
    <w:nsid w:val="0F1C5AED"/>
    <w:multiLevelType w:val="multilevel"/>
    <w:tmpl w:val="0F1C5AED"/>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9">
    <w:nsid w:val="13084F74"/>
    <w:multiLevelType w:val="multilevel"/>
    <w:tmpl w:val="13084F74"/>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0">
    <w:nsid w:val="133E587A"/>
    <w:multiLevelType w:val="multilevel"/>
    <w:tmpl w:val="133E587A"/>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155F0539"/>
    <w:multiLevelType w:val="multilevel"/>
    <w:tmpl w:val="155F0539"/>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2">
    <w:nsid w:val="17A37D83"/>
    <w:multiLevelType w:val="multilevel"/>
    <w:tmpl w:val="17A37D83"/>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17B70468"/>
    <w:multiLevelType w:val="multilevel"/>
    <w:tmpl w:val="17B70468"/>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4">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1CDB39D5"/>
    <w:multiLevelType w:val="multilevel"/>
    <w:tmpl w:val="1CDB39D5"/>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7">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28">
    <w:nsid w:val="231E7A89"/>
    <w:multiLevelType w:val="multilevel"/>
    <w:tmpl w:val="231E7A89"/>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29320F1C"/>
    <w:multiLevelType w:val="multilevel"/>
    <w:tmpl w:val="29320F1C"/>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31">
    <w:nsid w:val="2D9F7898"/>
    <w:multiLevelType w:val="multilevel"/>
    <w:tmpl w:val="2D9F7898"/>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2">
    <w:nsid w:val="2DE321A7"/>
    <w:multiLevelType w:val="multilevel"/>
    <w:tmpl w:val="2DE321A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3">
    <w:nsid w:val="2EBD46AA"/>
    <w:multiLevelType w:val="multilevel"/>
    <w:tmpl w:val="2EBD46AA"/>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4">
    <w:nsid w:val="2FAD3A9B"/>
    <w:multiLevelType w:val="multilevel"/>
    <w:tmpl w:val="2FAD3A9B"/>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5">
    <w:nsid w:val="321E5ACA"/>
    <w:multiLevelType w:val="multilevel"/>
    <w:tmpl w:val="321E5ACA"/>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6">
    <w:nsid w:val="32DE1F99"/>
    <w:multiLevelType w:val="multilevel"/>
    <w:tmpl w:val="32DE1F99"/>
    <w:lvl w:ilvl="0" w:tentative="0">
      <w:start w:val="1"/>
      <w:numFmt w:val="lowerLetter"/>
      <w:lvlText w:val="%1)"/>
      <w:lvlJc w:val="left"/>
      <w:pPr>
        <w:ind w:left="840" w:hanging="420"/>
      </w:pPr>
      <w:rPr>
        <w:rFonts w:hint="default" w:ascii="宋体" w:hAnsi="宋体" w:eastAsia="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7">
    <w:nsid w:val="32E07280"/>
    <w:multiLevelType w:val="multilevel"/>
    <w:tmpl w:val="32E07280"/>
    <w:lvl w:ilvl="0" w:tentative="0">
      <w:start w:val="1"/>
      <w:numFmt w:val="lowerLetter"/>
      <w:lvlText w:val="%1)"/>
      <w:lvlJc w:val="left"/>
      <w:pPr>
        <w:tabs>
          <w:tab w:val="left" w:pos="845"/>
        </w:tabs>
        <w:ind w:left="844"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8">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9">
    <w:nsid w:val="33714623"/>
    <w:multiLevelType w:val="multilevel"/>
    <w:tmpl w:val="3371462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0">
    <w:nsid w:val="34D21D13"/>
    <w:multiLevelType w:val="multilevel"/>
    <w:tmpl w:val="34D21D1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1">
    <w:nsid w:val="3505320B"/>
    <w:multiLevelType w:val="multilevel"/>
    <w:tmpl w:val="3505320B"/>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2">
    <w:nsid w:val="3AC26EF6"/>
    <w:multiLevelType w:val="multilevel"/>
    <w:tmpl w:val="3AC26EF6"/>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3">
    <w:nsid w:val="3BE16ADC"/>
    <w:multiLevelType w:val="multilevel"/>
    <w:tmpl w:val="3BE16ADC"/>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4">
    <w:nsid w:val="3C58379C"/>
    <w:multiLevelType w:val="multilevel"/>
    <w:tmpl w:val="3C58379C"/>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5">
    <w:nsid w:val="3DF46DE0"/>
    <w:multiLevelType w:val="multilevel"/>
    <w:tmpl w:val="3DF46DE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6">
    <w:nsid w:val="3E520A32"/>
    <w:multiLevelType w:val="multilevel"/>
    <w:tmpl w:val="3E520A32"/>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7">
    <w:nsid w:val="40147280"/>
    <w:multiLevelType w:val="multilevel"/>
    <w:tmpl w:val="4014728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8">
    <w:nsid w:val="405668EE"/>
    <w:multiLevelType w:val="multilevel"/>
    <w:tmpl w:val="405668EE"/>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49">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b w:val="0"/>
        <w:bCs/>
        <w:color w:val="auto"/>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0">
    <w:nsid w:val="44CA4375"/>
    <w:multiLevelType w:val="multilevel"/>
    <w:tmpl w:val="44CA4375"/>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1">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2">
    <w:nsid w:val="49B6150A"/>
    <w:multiLevelType w:val="multilevel"/>
    <w:tmpl w:val="49B6150A"/>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3">
    <w:nsid w:val="4A4C0478"/>
    <w:multiLevelType w:val="multilevel"/>
    <w:tmpl w:val="4A4C0478"/>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4">
    <w:nsid w:val="4AB26498"/>
    <w:multiLevelType w:val="multilevel"/>
    <w:tmpl w:val="4AB26498"/>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5">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6">
    <w:nsid w:val="4C286658"/>
    <w:multiLevelType w:val="multilevel"/>
    <w:tmpl w:val="4C286658"/>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7">
    <w:nsid w:val="4CD83B3F"/>
    <w:multiLevelType w:val="multilevel"/>
    <w:tmpl w:val="4CD83B3F"/>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8">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59">
    <w:nsid w:val="4ECE6EAB"/>
    <w:multiLevelType w:val="multilevel"/>
    <w:tmpl w:val="4ECE6EAB"/>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0">
    <w:nsid w:val="52DF079C"/>
    <w:multiLevelType w:val="multilevel"/>
    <w:tmpl w:val="52DF079C"/>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1">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62">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63">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4">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5">
    <w:nsid w:val="585D3230"/>
    <w:multiLevelType w:val="multilevel"/>
    <w:tmpl w:val="585D323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6">
    <w:nsid w:val="5E971384"/>
    <w:multiLevelType w:val="multilevel"/>
    <w:tmpl w:val="5E971384"/>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7">
    <w:nsid w:val="5F6B52D3"/>
    <w:multiLevelType w:val="multilevel"/>
    <w:tmpl w:val="5F6B52D3"/>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8">
    <w:nsid w:val="5FCA08DF"/>
    <w:multiLevelType w:val="multilevel"/>
    <w:tmpl w:val="5FCA08DF"/>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9">
    <w:nsid w:val="5FE1A9E3"/>
    <w:multiLevelType w:val="multilevel"/>
    <w:tmpl w:val="5FE1A9E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0">
    <w:nsid w:val="5FE1AA88"/>
    <w:multiLevelType w:val="multilevel"/>
    <w:tmpl w:val="5FE1AA88"/>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1">
    <w:nsid w:val="612E7F01"/>
    <w:multiLevelType w:val="multilevel"/>
    <w:tmpl w:val="612E7F01"/>
    <w:lvl w:ilvl="0" w:tentative="0">
      <w:start w:val="1"/>
      <w:numFmt w:val="lowerLetter"/>
      <w:lvlText w:val="%1)"/>
      <w:lvlJc w:val="left"/>
      <w:pPr>
        <w:tabs>
          <w:tab w:val="left" w:pos="846"/>
        </w:tabs>
        <w:ind w:left="845" w:hanging="419"/>
      </w:pPr>
      <w:rPr>
        <w:rFonts w:hint="eastAsia" w:ascii="宋体" w:eastAsia="宋体"/>
        <w:b w:val="0"/>
        <w:i w:val="0"/>
        <w:sz w:val="21"/>
        <w:szCs w:val="21"/>
      </w:rPr>
    </w:lvl>
    <w:lvl w:ilvl="1" w:tentative="0">
      <w:start w:val="1"/>
      <w:numFmt w:val="lowerLetter"/>
      <w:lvlText w:val="%2)"/>
      <w:lvlJc w:val="left"/>
      <w:pPr>
        <w:tabs>
          <w:tab w:val="left" w:pos="366"/>
        </w:tabs>
        <w:ind w:left="0" w:firstLine="0"/>
      </w:pPr>
      <w:rPr>
        <w:rFonts w:hint="eastAsia" w:ascii="宋体" w:hAnsi="Times New Roman" w:eastAsia="宋体" w:cs="Times New Roman"/>
      </w:rPr>
    </w:lvl>
    <w:lvl w:ilvl="2" w:tentative="0">
      <w:start w:val="0"/>
      <w:numFmt w:val="decimal"/>
      <w:lvlText w:val=""/>
      <w:lvlJc w:val="left"/>
      <w:pPr>
        <w:ind w:left="0" w:firstLine="0"/>
      </w:pPr>
      <w:rPr>
        <w:rFonts w:hint="eastAsia"/>
      </w:rPr>
    </w:lvl>
    <w:lvl w:ilvl="3" w:tentative="0">
      <w:start w:val="0"/>
      <w:numFmt w:val="none"/>
      <w:lvlText w:val=""/>
      <w:lvlJc w:val="left"/>
      <w:pPr>
        <w:tabs>
          <w:tab w:val="left" w:pos="366"/>
        </w:tabs>
        <w:ind w:left="0" w:firstLine="0"/>
      </w:pPr>
      <w:rPr>
        <w:rFonts w:hint="eastAsia"/>
      </w:rPr>
    </w:lvl>
    <w:lvl w:ilvl="4" w:tentative="0">
      <w:start w:val="0"/>
      <w:numFmt w:val="none"/>
      <w:lvlText w:val=""/>
      <w:lvlJc w:val="left"/>
      <w:pPr>
        <w:tabs>
          <w:tab w:val="left" w:pos="366"/>
        </w:tabs>
        <w:ind w:left="0" w:firstLine="0"/>
      </w:pPr>
      <w:rPr>
        <w:rFonts w:hint="eastAsia"/>
      </w:rPr>
    </w:lvl>
    <w:lvl w:ilvl="5" w:tentative="0">
      <w:start w:val="0"/>
      <w:numFmt w:val="none"/>
      <w:lvlText w:val=""/>
      <w:lvlJc w:val="left"/>
      <w:pPr>
        <w:tabs>
          <w:tab w:val="left" w:pos="366"/>
        </w:tabs>
        <w:ind w:left="0" w:firstLine="0"/>
      </w:pPr>
      <w:rPr>
        <w:rFonts w:hint="eastAsia"/>
      </w:rPr>
    </w:lvl>
    <w:lvl w:ilvl="6" w:tentative="0">
      <w:start w:val="519634946"/>
      <w:numFmt w:val="decimal"/>
      <w:lvlText w:val=""/>
      <w:lvlJc w:val="left"/>
      <w:pPr>
        <w:ind w:left="0" w:firstLine="0"/>
      </w:pPr>
      <w:rPr>
        <w:rFonts w:hint="eastAsia"/>
      </w:rPr>
    </w:lvl>
    <w:lvl w:ilvl="7" w:tentative="0">
      <w:start w:val="0"/>
      <w:numFmt w:val="none"/>
      <w:lvlText w:val=""/>
      <w:lvlJc w:val="left"/>
      <w:pPr>
        <w:tabs>
          <w:tab w:val="left" w:pos="366"/>
        </w:tabs>
        <w:ind w:left="0" w:firstLine="0"/>
      </w:pPr>
      <w:rPr>
        <w:rFonts w:hint="eastAsia"/>
      </w:rPr>
    </w:lvl>
    <w:lvl w:ilvl="8" w:tentative="0">
      <w:start w:val="0"/>
      <w:numFmt w:val="decimal"/>
      <w:lvlText w:val="ỹ"/>
      <w:lvlJc w:val="left"/>
      <w:pPr>
        <w:ind w:left="0" w:firstLine="0"/>
      </w:pPr>
      <w:rPr>
        <w:rFonts w:hint="eastAsia"/>
      </w:rPr>
    </w:lvl>
  </w:abstractNum>
  <w:abstractNum w:abstractNumId="72">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73">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74">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75">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6">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77">
    <w:nsid w:val="69BD4400"/>
    <w:multiLevelType w:val="multilevel"/>
    <w:tmpl w:val="69BD440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8">
    <w:nsid w:val="69C037B8"/>
    <w:multiLevelType w:val="multilevel"/>
    <w:tmpl w:val="69C037B8"/>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9">
    <w:nsid w:val="6C925AAD"/>
    <w:multiLevelType w:val="multilevel"/>
    <w:tmpl w:val="6C925AAD"/>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0">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1">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2">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2269" w:firstLine="0"/>
      </w:pPr>
      <w:rPr>
        <w:rFonts w:hint="eastAsia" w:ascii="黑体" w:eastAsia="黑体"/>
        <w:b w:val="0"/>
        <w:i w:val="0"/>
        <w:sz w:val="21"/>
      </w:rPr>
    </w:lvl>
    <w:lvl w:ilvl="4" w:tentative="0">
      <w:start w:val="1"/>
      <w:numFmt w:val="decimal"/>
      <w:pStyle w:val="97"/>
      <w:suff w:val="nothing"/>
      <w:lvlText w:val="%1%2.%3.%4.%5　"/>
      <w:lvlJc w:val="left"/>
      <w:pPr>
        <w:ind w:left="568" w:firstLine="0"/>
      </w:pPr>
      <w:rPr>
        <w:rFonts w:hint="eastAsia" w:ascii="黑体" w:eastAsia="黑体"/>
        <w:b w:val="0"/>
        <w:i w:val="0"/>
        <w:sz w:val="21"/>
      </w:rPr>
    </w:lvl>
    <w:lvl w:ilvl="5" w:tentative="0">
      <w:start w:val="1"/>
      <w:numFmt w:val="decimal"/>
      <w:pStyle w:val="101"/>
      <w:suff w:val="nothing"/>
      <w:lvlText w:val="%1%2.%3.%4.%5.%6　"/>
      <w:lvlJc w:val="left"/>
      <w:pPr>
        <w:ind w:left="426"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3">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84">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85">
    <w:nsid w:val="6E71228A"/>
    <w:multiLevelType w:val="multilevel"/>
    <w:tmpl w:val="6E71228A"/>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6">
    <w:nsid w:val="6E712AB4"/>
    <w:multiLevelType w:val="multilevel"/>
    <w:tmpl w:val="6E712AB4"/>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7">
    <w:nsid w:val="727369C9"/>
    <w:multiLevelType w:val="multilevel"/>
    <w:tmpl w:val="727369C9"/>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8">
    <w:nsid w:val="72B314C0"/>
    <w:multiLevelType w:val="multilevel"/>
    <w:tmpl w:val="72B314C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89">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0">
    <w:nsid w:val="77653B76"/>
    <w:multiLevelType w:val="multilevel"/>
    <w:tmpl w:val="77653B76"/>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1">
    <w:nsid w:val="78546F05"/>
    <w:multiLevelType w:val="multilevel"/>
    <w:tmpl w:val="78546F05"/>
    <w:lvl w:ilvl="0" w:tentative="0">
      <w:start w:val="1"/>
      <w:numFmt w:val="lowerLetter"/>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82"/>
  </w:num>
  <w:num w:numId="3">
    <w:abstractNumId w:val="15"/>
  </w:num>
  <w:num w:numId="4">
    <w:abstractNumId w:val="75"/>
  </w:num>
  <w:num w:numId="5">
    <w:abstractNumId w:val="63"/>
  </w:num>
  <w:num w:numId="6">
    <w:abstractNumId w:val="51"/>
  </w:num>
  <w:num w:numId="7">
    <w:abstractNumId w:val="25"/>
  </w:num>
  <w:num w:numId="8">
    <w:abstractNumId w:val="9"/>
  </w:num>
  <w:num w:numId="9">
    <w:abstractNumId w:val="27"/>
  </w:num>
  <w:num w:numId="10">
    <w:abstractNumId w:val="61"/>
  </w:num>
  <w:num w:numId="11">
    <w:abstractNumId w:val="80"/>
  </w:num>
  <w:num w:numId="12">
    <w:abstractNumId w:val="38"/>
  </w:num>
  <w:num w:numId="13">
    <w:abstractNumId w:val="49"/>
  </w:num>
  <w:num w:numId="14">
    <w:abstractNumId w:val="24"/>
  </w:num>
  <w:num w:numId="15">
    <w:abstractNumId w:val="64"/>
  </w:num>
  <w:num w:numId="16">
    <w:abstractNumId w:val="73"/>
  </w:num>
  <w:num w:numId="17">
    <w:abstractNumId w:val="62"/>
  </w:num>
  <w:num w:numId="18">
    <w:abstractNumId w:val="84"/>
  </w:num>
  <w:num w:numId="19">
    <w:abstractNumId w:val="58"/>
  </w:num>
  <w:num w:numId="20">
    <w:abstractNumId w:val="2"/>
  </w:num>
  <w:num w:numId="21">
    <w:abstractNumId w:val="30"/>
  </w:num>
  <w:num w:numId="22">
    <w:abstractNumId w:val="89"/>
  </w:num>
  <w:num w:numId="23">
    <w:abstractNumId w:val="72"/>
  </w:num>
  <w:num w:numId="24">
    <w:abstractNumId w:val="17"/>
  </w:num>
  <w:num w:numId="25">
    <w:abstractNumId w:val="81"/>
  </w:num>
  <w:num w:numId="26">
    <w:abstractNumId w:val="83"/>
  </w:num>
  <w:num w:numId="27">
    <w:abstractNumId w:val="8"/>
  </w:num>
  <w:num w:numId="28">
    <w:abstractNumId w:val="14"/>
  </w:num>
  <w:num w:numId="29">
    <w:abstractNumId w:val="55"/>
  </w:num>
  <w:num w:numId="30">
    <w:abstractNumId w:val="76"/>
  </w:num>
  <w:num w:numId="31">
    <w:abstractNumId w:val="74"/>
  </w:num>
  <w:num w:numId="3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0"/>
    <w:lvlOverride w:ilvl="0">
      <w:startOverride w:val="1"/>
    </w:lvlOverride>
  </w:num>
  <w:num w:numId="43">
    <w:abstractNumId w:val="26"/>
    <w:lvlOverride w:ilvl="0">
      <w:startOverride w:val="1"/>
    </w:lvlOverride>
  </w:num>
  <w:num w:numId="44">
    <w:abstractNumId w:val="7"/>
  </w:num>
  <w:num w:numId="45">
    <w:abstractNumId w:val="68"/>
    <w:lvlOverride w:ilvl="0">
      <w:startOverride w:val="1"/>
    </w:lvlOverride>
  </w:num>
  <w:num w:numId="46">
    <w:abstractNumId w:val="33"/>
    <w:lvlOverride w:ilvl="0">
      <w:startOverride w:val="1"/>
    </w:lvlOverride>
  </w:num>
  <w:num w:numId="47">
    <w:abstractNumId w:val="23"/>
    <w:lvlOverride w:ilvl="0">
      <w:startOverride w:val="1"/>
    </w:lvlOverride>
  </w:num>
  <w:num w:numId="48">
    <w:abstractNumId w:val="21"/>
    <w:lvlOverride w:ilvl="0">
      <w:startOverride w:val="1"/>
    </w:lvlOverride>
  </w:num>
  <w:num w:numId="49">
    <w:abstractNumId w:val="41"/>
    <w:lvlOverride w:ilvl="0">
      <w:startOverride w:val="1"/>
    </w:lvlOverride>
  </w:num>
  <w:num w:numId="50">
    <w:abstractNumId w:val="69"/>
  </w:num>
  <w:num w:numId="51">
    <w:abstractNumId w:val="79"/>
    <w:lvlOverride w:ilvl="0">
      <w:startOverride w:val="1"/>
    </w:lvlOverride>
  </w:num>
  <w:num w:numId="52">
    <w:abstractNumId w:val="77"/>
    <w:lvlOverride w:ilvl="0">
      <w:startOverride w:val="1"/>
    </w:lvlOverride>
  </w:num>
  <w:num w:numId="53">
    <w:abstractNumId w:val="60"/>
    <w:lvlOverride w:ilvl="0">
      <w:startOverride w:val="1"/>
    </w:lvlOverride>
  </w:num>
  <w:num w:numId="54">
    <w:abstractNumId w:val="65"/>
    <w:lvlOverride w:ilvl="0">
      <w:startOverride w:val="1"/>
    </w:lvlOverride>
  </w:num>
  <w:num w:numId="55">
    <w:abstractNumId w:val="34"/>
    <w:lvlOverride w:ilvl="0">
      <w:startOverride w:val="1"/>
    </w:lvlOverride>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9"/>
    <w:lvlOverride w:ilvl="0">
      <w:startOverride w:val="1"/>
    </w:lvlOverride>
  </w:num>
  <w:num w:numId="58">
    <w:abstractNumId w:val="45"/>
  </w:num>
  <w:num w:numId="59">
    <w:abstractNumId w:val="12"/>
    <w:lvlOverride w:ilvl="0">
      <w:startOverride w:val="1"/>
    </w:lvlOverride>
  </w:num>
  <w:num w:numId="60">
    <w:abstractNumId w:val="39"/>
    <w:lvlOverride w:ilvl="0">
      <w:startOverride w:val="1"/>
    </w:lvlOverride>
  </w:num>
  <w:num w:numId="61">
    <w:abstractNumId w:val="90"/>
    <w:lvlOverride w:ilvl="0">
      <w:startOverride w:val="1"/>
    </w:lvlOverride>
  </w:num>
  <w:num w:numId="62">
    <w:abstractNumId w:val="4"/>
    <w:lvlOverride w:ilvl="0">
      <w:startOverride w:val="1"/>
    </w:lvlOverride>
  </w:num>
  <w:num w:numId="63">
    <w:abstractNumId w:val="70"/>
    <w:lvlOverride w:ilvl="0">
      <w:startOverride w:val="1"/>
    </w:lvlOverride>
  </w:num>
  <w:num w:numId="64">
    <w:abstractNumId w:val="47"/>
    <w:lvlOverride w:ilvl="0">
      <w:startOverride w:val="1"/>
    </w:lvlOverride>
  </w:num>
  <w:num w:numId="65">
    <w:abstractNumId w:val="16"/>
    <w:lvlOverride w:ilvl="0">
      <w:startOverride w:val="1"/>
    </w:lvlOverride>
  </w:num>
  <w:num w:numId="66">
    <w:abstractNumId w:val="37"/>
  </w:num>
  <w:num w:numId="67">
    <w:abstractNumId w:val="66"/>
  </w:num>
  <w:num w:numId="68">
    <w:abstractNumId w:val="32"/>
  </w:num>
  <w:num w:numId="6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0"/>
  </w:num>
  <w:num w:numId="72">
    <w:abstractNumId w:val="88"/>
    <w:lvlOverride w:ilvl="0">
      <w:startOverride w:val="1"/>
    </w:lvlOverride>
  </w:num>
  <w:num w:numId="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0"/>
    <w:lvlOverride w:ilvl="0">
      <w:startOverride w:val="1"/>
    </w:lvlOverride>
  </w:num>
  <w:num w:numId="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num>
  <w:num w:numId="79">
    <w:abstractNumId w:val="28"/>
  </w:num>
  <w:num w:numId="8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3"/>
  </w:num>
  <w:num w:numId="82">
    <w:abstractNumId w:val="46"/>
  </w:num>
  <w:num w:numId="83">
    <w:abstractNumId w:val="71"/>
  </w:num>
  <w:num w:numId="84">
    <w:abstractNumId w:val="42"/>
  </w:num>
  <w:num w:numId="85">
    <w:abstractNumId w:val="11"/>
  </w:num>
  <w:num w:numId="86">
    <w:abstractNumId w:val="56"/>
  </w:num>
  <w:num w:numId="87">
    <w:abstractNumId w:val="3"/>
  </w:num>
  <w:num w:numId="88">
    <w:abstractNumId w:val="22"/>
  </w:num>
  <w:num w:numId="89">
    <w:abstractNumId w:val="36"/>
  </w:num>
  <w:num w:numId="90">
    <w:abstractNumId w:val="6"/>
  </w:num>
  <w:num w:numId="9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2"/>
  </w:num>
  <w:num w:numId="93">
    <w:abstractNumId w:val="49"/>
    <w:lvlOverride w:ilvl="0">
      <w:startOverride w:val="1"/>
    </w:lvlOverride>
  </w:num>
  <w:num w:numId="9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5"/>
    <w:lvlOverride w:ilvl="0">
      <w:startOverride w:val="1"/>
    </w:lvlOverride>
  </w:num>
  <w:num w:numId="103">
    <w:abstractNumId w:val="48"/>
    <w:lvlOverride w:ilvl="0">
      <w:startOverride w:val="1"/>
    </w:lvlOverride>
  </w:num>
  <w:num w:numId="104">
    <w:abstractNumId w:val="29"/>
    <w:lvlOverride w:ilvl="0">
      <w:startOverride w:val="1"/>
    </w:lvlOverride>
  </w:num>
  <w:num w:numId="105">
    <w:abstractNumId w:val="54"/>
    <w:lvlOverride w:ilvl="0">
      <w:startOverride w:val="1"/>
    </w:lvlOverride>
  </w:num>
  <w:num w:numId="106">
    <w:abstractNumId w:val="19"/>
    <w:lvlOverride w:ilvl="0">
      <w:startOverride w:val="1"/>
    </w:lvlOverride>
  </w:num>
  <w:num w:numId="107">
    <w:abstractNumId w:val="31"/>
    <w:lvlOverride w:ilvl="0">
      <w:startOverride w:val="1"/>
    </w:lvlOverride>
  </w:num>
  <w:num w:numId="108">
    <w:abstractNumId w:val="18"/>
    <w:lvlOverride w:ilvl="0">
      <w:startOverride w:val="1"/>
    </w:lvlOverride>
  </w:num>
  <w:num w:numId="10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
  </w:num>
  <w:num w:numId="114">
    <w:abstractNumId w:val="13"/>
  </w:num>
  <w:num w:numId="115">
    <w:abstractNumId w:val="44"/>
  </w:num>
  <w:num w:numId="116">
    <w:abstractNumId w:val="67"/>
  </w:num>
  <w:num w:numId="117">
    <w:abstractNumId w:val="86"/>
  </w:num>
  <w:num w:numId="118">
    <w:abstractNumId w:val="35"/>
  </w:num>
  <w:num w:numId="119">
    <w:abstractNumId w:val="78"/>
  </w:num>
  <w:num w:numId="120">
    <w:abstractNumId w:val="91"/>
  </w:num>
  <w:num w:numId="121">
    <w:abstractNumId w:val="87"/>
  </w:num>
  <w:num w:numId="122">
    <w:abstractNumId w:val="43"/>
  </w:num>
  <w:num w:numId="123">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NotDisplayPageBoundaries w:val="1"/>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1OGEwNjZjNGQzN2Q4MGJhYjYwODQ3MTZlYmVhYTQifQ=="/>
  </w:docVars>
  <w:rsids>
    <w:rsidRoot w:val="0080315E"/>
    <w:rsid w:val="0000040A"/>
    <w:rsid w:val="00000766"/>
    <w:rsid w:val="00000A94"/>
    <w:rsid w:val="00001972"/>
    <w:rsid w:val="00001D9A"/>
    <w:rsid w:val="00005145"/>
    <w:rsid w:val="00007B3A"/>
    <w:rsid w:val="000107E0"/>
    <w:rsid w:val="00011FDE"/>
    <w:rsid w:val="00012FFD"/>
    <w:rsid w:val="00014162"/>
    <w:rsid w:val="00014340"/>
    <w:rsid w:val="00016A9C"/>
    <w:rsid w:val="00017040"/>
    <w:rsid w:val="00021D87"/>
    <w:rsid w:val="00022184"/>
    <w:rsid w:val="00022762"/>
    <w:rsid w:val="000238E0"/>
    <w:rsid w:val="00023B87"/>
    <w:rsid w:val="000249DB"/>
    <w:rsid w:val="0002595E"/>
    <w:rsid w:val="000303C3"/>
    <w:rsid w:val="000331D3"/>
    <w:rsid w:val="00034209"/>
    <w:rsid w:val="000346A5"/>
    <w:rsid w:val="000359C3"/>
    <w:rsid w:val="00035A7D"/>
    <w:rsid w:val="00035C5B"/>
    <w:rsid w:val="0004249A"/>
    <w:rsid w:val="00042AF6"/>
    <w:rsid w:val="00043282"/>
    <w:rsid w:val="00044286"/>
    <w:rsid w:val="00046348"/>
    <w:rsid w:val="00047F28"/>
    <w:rsid w:val="000503AA"/>
    <w:rsid w:val="000506A1"/>
    <w:rsid w:val="000515DD"/>
    <w:rsid w:val="0005265A"/>
    <w:rsid w:val="000527FA"/>
    <w:rsid w:val="000539DD"/>
    <w:rsid w:val="00053BD3"/>
    <w:rsid w:val="000556ED"/>
    <w:rsid w:val="00055FE2"/>
    <w:rsid w:val="0005616F"/>
    <w:rsid w:val="0005684B"/>
    <w:rsid w:val="00060C2E"/>
    <w:rsid w:val="00060E90"/>
    <w:rsid w:val="00061033"/>
    <w:rsid w:val="000619E9"/>
    <w:rsid w:val="000622D4"/>
    <w:rsid w:val="0006357D"/>
    <w:rsid w:val="00067F1E"/>
    <w:rsid w:val="000704EE"/>
    <w:rsid w:val="00070944"/>
    <w:rsid w:val="00071CC0"/>
    <w:rsid w:val="00073C8C"/>
    <w:rsid w:val="00077B64"/>
    <w:rsid w:val="00080A1C"/>
    <w:rsid w:val="00080D17"/>
    <w:rsid w:val="00081015"/>
    <w:rsid w:val="00082317"/>
    <w:rsid w:val="00083D2C"/>
    <w:rsid w:val="00086AA1"/>
    <w:rsid w:val="00087A77"/>
    <w:rsid w:val="00090CA6"/>
    <w:rsid w:val="00091445"/>
    <w:rsid w:val="00092B8A"/>
    <w:rsid w:val="00092FB0"/>
    <w:rsid w:val="000934C5"/>
    <w:rsid w:val="00093D25"/>
    <w:rsid w:val="00094D73"/>
    <w:rsid w:val="00096D63"/>
    <w:rsid w:val="000A0B60"/>
    <w:rsid w:val="000A0EB8"/>
    <w:rsid w:val="000A19FC"/>
    <w:rsid w:val="000A296B"/>
    <w:rsid w:val="000A483C"/>
    <w:rsid w:val="000A7311"/>
    <w:rsid w:val="000B060F"/>
    <w:rsid w:val="000B1592"/>
    <w:rsid w:val="000B1FF2"/>
    <w:rsid w:val="000B3CDA"/>
    <w:rsid w:val="000B6A0B"/>
    <w:rsid w:val="000B7D38"/>
    <w:rsid w:val="000C0F6C"/>
    <w:rsid w:val="000C1178"/>
    <w:rsid w:val="000C11DB"/>
    <w:rsid w:val="000C21A6"/>
    <w:rsid w:val="000C2FBD"/>
    <w:rsid w:val="000C3E10"/>
    <w:rsid w:val="000C4B41"/>
    <w:rsid w:val="000C564E"/>
    <w:rsid w:val="000C57D6"/>
    <w:rsid w:val="000C7666"/>
    <w:rsid w:val="000C7AB5"/>
    <w:rsid w:val="000C7D3A"/>
    <w:rsid w:val="000D0A9C"/>
    <w:rsid w:val="000D1795"/>
    <w:rsid w:val="000D24F6"/>
    <w:rsid w:val="000D329A"/>
    <w:rsid w:val="000D4B9C"/>
    <w:rsid w:val="000D4EB6"/>
    <w:rsid w:val="000D59E5"/>
    <w:rsid w:val="000D753B"/>
    <w:rsid w:val="000E2584"/>
    <w:rsid w:val="000E4C9E"/>
    <w:rsid w:val="000E5799"/>
    <w:rsid w:val="000E6FD7"/>
    <w:rsid w:val="000E74F8"/>
    <w:rsid w:val="000F06E1"/>
    <w:rsid w:val="000F0E3C"/>
    <w:rsid w:val="000F19D5"/>
    <w:rsid w:val="000F2E41"/>
    <w:rsid w:val="000F4AEA"/>
    <w:rsid w:val="000F6501"/>
    <w:rsid w:val="000F67E9"/>
    <w:rsid w:val="001016A7"/>
    <w:rsid w:val="00104926"/>
    <w:rsid w:val="00113B1E"/>
    <w:rsid w:val="0011636F"/>
    <w:rsid w:val="001169C1"/>
    <w:rsid w:val="0011711C"/>
    <w:rsid w:val="00124E4F"/>
    <w:rsid w:val="001260B7"/>
    <w:rsid w:val="001265CB"/>
    <w:rsid w:val="001321C6"/>
    <w:rsid w:val="001325C4"/>
    <w:rsid w:val="00133010"/>
    <w:rsid w:val="001337A1"/>
    <w:rsid w:val="001338EE"/>
    <w:rsid w:val="00133AAE"/>
    <w:rsid w:val="00134CD0"/>
    <w:rsid w:val="00135323"/>
    <w:rsid w:val="001356C4"/>
    <w:rsid w:val="00140971"/>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67DB6"/>
    <w:rsid w:val="00170804"/>
    <w:rsid w:val="001708E9"/>
    <w:rsid w:val="0017340B"/>
    <w:rsid w:val="00173FB1"/>
    <w:rsid w:val="00176DFD"/>
    <w:rsid w:val="00183FD1"/>
    <w:rsid w:val="001852C9"/>
    <w:rsid w:val="00190087"/>
    <w:rsid w:val="001913C4"/>
    <w:rsid w:val="00192345"/>
    <w:rsid w:val="0019348F"/>
    <w:rsid w:val="00193A07"/>
    <w:rsid w:val="00193F2C"/>
    <w:rsid w:val="00194C95"/>
    <w:rsid w:val="00195C34"/>
    <w:rsid w:val="001A1A53"/>
    <w:rsid w:val="001A2085"/>
    <w:rsid w:val="001A234A"/>
    <w:rsid w:val="001B06E8"/>
    <w:rsid w:val="001B1D54"/>
    <w:rsid w:val="001B71D0"/>
    <w:rsid w:val="001B71EE"/>
    <w:rsid w:val="001B7FB3"/>
    <w:rsid w:val="001C04A8"/>
    <w:rsid w:val="001C2C03"/>
    <w:rsid w:val="001C2C6D"/>
    <w:rsid w:val="001C42F7"/>
    <w:rsid w:val="001C49E5"/>
    <w:rsid w:val="001C533F"/>
    <w:rsid w:val="001C680C"/>
    <w:rsid w:val="001C6E76"/>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66F"/>
    <w:rsid w:val="001F4816"/>
    <w:rsid w:val="001F4C14"/>
    <w:rsid w:val="001F60AD"/>
    <w:rsid w:val="001F69B4"/>
    <w:rsid w:val="001F6E4D"/>
    <w:rsid w:val="001F77C7"/>
    <w:rsid w:val="00200183"/>
    <w:rsid w:val="0020107D"/>
    <w:rsid w:val="00202A0B"/>
    <w:rsid w:val="00202AA4"/>
    <w:rsid w:val="002031F7"/>
    <w:rsid w:val="002032D2"/>
    <w:rsid w:val="002040E6"/>
    <w:rsid w:val="0020527B"/>
    <w:rsid w:val="00206574"/>
    <w:rsid w:val="0020657F"/>
    <w:rsid w:val="00210B15"/>
    <w:rsid w:val="002142EA"/>
    <w:rsid w:val="002204BB"/>
    <w:rsid w:val="00221B79"/>
    <w:rsid w:val="00221C6B"/>
    <w:rsid w:val="00222A71"/>
    <w:rsid w:val="002253A1"/>
    <w:rsid w:val="00225CF8"/>
    <w:rsid w:val="00226AFE"/>
    <w:rsid w:val="0022794E"/>
    <w:rsid w:val="00233D64"/>
    <w:rsid w:val="0023482A"/>
    <w:rsid w:val="002358B3"/>
    <w:rsid w:val="002359CB"/>
    <w:rsid w:val="00236C4C"/>
    <w:rsid w:val="0024336E"/>
    <w:rsid w:val="00243540"/>
    <w:rsid w:val="0024441E"/>
    <w:rsid w:val="0024497B"/>
    <w:rsid w:val="0024515B"/>
    <w:rsid w:val="00246021"/>
    <w:rsid w:val="0024666E"/>
    <w:rsid w:val="00247F52"/>
    <w:rsid w:val="00250B25"/>
    <w:rsid w:val="00250BBE"/>
    <w:rsid w:val="0025194F"/>
    <w:rsid w:val="002541FE"/>
    <w:rsid w:val="00260FA2"/>
    <w:rsid w:val="00261215"/>
    <w:rsid w:val="0026148A"/>
    <w:rsid w:val="00262696"/>
    <w:rsid w:val="0026405D"/>
    <w:rsid w:val="002643C3"/>
    <w:rsid w:val="00264A0C"/>
    <w:rsid w:val="00267EF4"/>
    <w:rsid w:val="00270CB8"/>
    <w:rsid w:val="00272B08"/>
    <w:rsid w:val="00273BC7"/>
    <w:rsid w:val="00281BB8"/>
    <w:rsid w:val="00281E9E"/>
    <w:rsid w:val="002833F2"/>
    <w:rsid w:val="00285170"/>
    <w:rsid w:val="00285361"/>
    <w:rsid w:val="00285483"/>
    <w:rsid w:val="00292D60"/>
    <w:rsid w:val="00294D34"/>
    <w:rsid w:val="00294E3B"/>
    <w:rsid w:val="00296193"/>
    <w:rsid w:val="00296C66"/>
    <w:rsid w:val="00296EBE"/>
    <w:rsid w:val="002974E3"/>
    <w:rsid w:val="00297F89"/>
    <w:rsid w:val="002A084B"/>
    <w:rsid w:val="002A1260"/>
    <w:rsid w:val="002A1589"/>
    <w:rsid w:val="002A1608"/>
    <w:rsid w:val="002A25DC"/>
    <w:rsid w:val="002A3AAB"/>
    <w:rsid w:val="002A4CEA"/>
    <w:rsid w:val="002A5977"/>
    <w:rsid w:val="002A5A13"/>
    <w:rsid w:val="002A6C88"/>
    <w:rsid w:val="002A7F44"/>
    <w:rsid w:val="002B0C40"/>
    <w:rsid w:val="002B1966"/>
    <w:rsid w:val="002B4508"/>
    <w:rsid w:val="002B5779"/>
    <w:rsid w:val="002B7332"/>
    <w:rsid w:val="002B7F51"/>
    <w:rsid w:val="002C09E7"/>
    <w:rsid w:val="002C0E0B"/>
    <w:rsid w:val="002C1B28"/>
    <w:rsid w:val="002C3546"/>
    <w:rsid w:val="002C3F07"/>
    <w:rsid w:val="002C5278"/>
    <w:rsid w:val="002C7EBB"/>
    <w:rsid w:val="002D06C1"/>
    <w:rsid w:val="002D0D1E"/>
    <w:rsid w:val="002D42B5"/>
    <w:rsid w:val="002D4F1A"/>
    <w:rsid w:val="002D6CA6"/>
    <w:rsid w:val="002D6EC6"/>
    <w:rsid w:val="002D79AC"/>
    <w:rsid w:val="002E039D"/>
    <w:rsid w:val="002E1488"/>
    <w:rsid w:val="002E3543"/>
    <w:rsid w:val="002E4D5A"/>
    <w:rsid w:val="002E6326"/>
    <w:rsid w:val="002F0787"/>
    <w:rsid w:val="002F30E0"/>
    <w:rsid w:val="002F35E4"/>
    <w:rsid w:val="002F3730"/>
    <w:rsid w:val="002F38E1"/>
    <w:rsid w:val="002F54BD"/>
    <w:rsid w:val="002F7A2E"/>
    <w:rsid w:val="002F7AF6"/>
    <w:rsid w:val="00300E63"/>
    <w:rsid w:val="00302F5F"/>
    <w:rsid w:val="00303EBD"/>
    <w:rsid w:val="0030441D"/>
    <w:rsid w:val="00306063"/>
    <w:rsid w:val="0030735C"/>
    <w:rsid w:val="00307B13"/>
    <w:rsid w:val="003105C7"/>
    <w:rsid w:val="00312949"/>
    <w:rsid w:val="00313B85"/>
    <w:rsid w:val="00314881"/>
    <w:rsid w:val="00314BDF"/>
    <w:rsid w:val="00317988"/>
    <w:rsid w:val="003221B4"/>
    <w:rsid w:val="00322E62"/>
    <w:rsid w:val="00324EDD"/>
    <w:rsid w:val="00325302"/>
    <w:rsid w:val="003279C1"/>
    <w:rsid w:val="00334723"/>
    <w:rsid w:val="00335C6D"/>
    <w:rsid w:val="003363F0"/>
    <w:rsid w:val="00336C64"/>
    <w:rsid w:val="00337162"/>
    <w:rsid w:val="0034194F"/>
    <w:rsid w:val="00344605"/>
    <w:rsid w:val="00346A80"/>
    <w:rsid w:val="003474AA"/>
    <w:rsid w:val="00350D1D"/>
    <w:rsid w:val="003516BA"/>
    <w:rsid w:val="00352C83"/>
    <w:rsid w:val="003558DA"/>
    <w:rsid w:val="00356573"/>
    <w:rsid w:val="00360CF9"/>
    <w:rsid w:val="003615D2"/>
    <w:rsid w:val="00362AF9"/>
    <w:rsid w:val="0036429C"/>
    <w:rsid w:val="0036464A"/>
    <w:rsid w:val="00364A53"/>
    <w:rsid w:val="003654CB"/>
    <w:rsid w:val="00365F86"/>
    <w:rsid w:val="00365F87"/>
    <w:rsid w:val="00366550"/>
    <w:rsid w:val="00366592"/>
    <w:rsid w:val="003705F4"/>
    <w:rsid w:val="00370D58"/>
    <w:rsid w:val="00371316"/>
    <w:rsid w:val="00371DD2"/>
    <w:rsid w:val="00374E75"/>
    <w:rsid w:val="00376713"/>
    <w:rsid w:val="0038160C"/>
    <w:rsid w:val="00381815"/>
    <w:rsid w:val="003819AF"/>
    <w:rsid w:val="003820E9"/>
    <w:rsid w:val="00382DE7"/>
    <w:rsid w:val="003832BA"/>
    <w:rsid w:val="00384FFC"/>
    <w:rsid w:val="003872FC"/>
    <w:rsid w:val="00387ADC"/>
    <w:rsid w:val="00390020"/>
    <w:rsid w:val="003903D6"/>
    <w:rsid w:val="003906E5"/>
    <w:rsid w:val="00390EE6"/>
    <w:rsid w:val="0039118F"/>
    <w:rsid w:val="00392709"/>
    <w:rsid w:val="00392AD7"/>
    <w:rsid w:val="00392C1E"/>
    <w:rsid w:val="003938D9"/>
    <w:rsid w:val="00394376"/>
    <w:rsid w:val="003943FF"/>
    <w:rsid w:val="00394A3E"/>
    <w:rsid w:val="003974EB"/>
    <w:rsid w:val="00397CC5"/>
    <w:rsid w:val="003A1582"/>
    <w:rsid w:val="003A2041"/>
    <w:rsid w:val="003A30A7"/>
    <w:rsid w:val="003A4077"/>
    <w:rsid w:val="003B09AD"/>
    <w:rsid w:val="003B111D"/>
    <w:rsid w:val="003B1323"/>
    <w:rsid w:val="003B1F18"/>
    <w:rsid w:val="003B5BF0"/>
    <w:rsid w:val="003B60BF"/>
    <w:rsid w:val="003B6BE3"/>
    <w:rsid w:val="003C010C"/>
    <w:rsid w:val="003C0A6C"/>
    <w:rsid w:val="003C1299"/>
    <w:rsid w:val="003C5A43"/>
    <w:rsid w:val="003C7281"/>
    <w:rsid w:val="003D0519"/>
    <w:rsid w:val="003D0FF6"/>
    <w:rsid w:val="003D262C"/>
    <w:rsid w:val="003D3CA5"/>
    <w:rsid w:val="003D6D61"/>
    <w:rsid w:val="003E091D"/>
    <w:rsid w:val="003E1C53"/>
    <w:rsid w:val="003E2A69"/>
    <w:rsid w:val="003E2D49"/>
    <w:rsid w:val="003E2FD4"/>
    <w:rsid w:val="003E49F6"/>
    <w:rsid w:val="003F0841"/>
    <w:rsid w:val="003F0A34"/>
    <w:rsid w:val="003F23D3"/>
    <w:rsid w:val="003F3F08"/>
    <w:rsid w:val="003F49F1"/>
    <w:rsid w:val="003F6272"/>
    <w:rsid w:val="003F7096"/>
    <w:rsid w:val="00400E72"/>
    <w:rsid w:val="00401400"/>
    <w:rsid w:val="00401C8A"/>
    <w:rsid w:val="00404869"/>
    <w:rsid w:val="00405884"/>
    <w:rsid w:val="00406455"/>
    <w:rsid w:val="00407D39"/>
    <w:rsid w:val="004100DF"/>
    <w:rsid w:val="0041477A"/>
    <w:rsid w:val="004167A3"/>
    <w:rsid w:val="00421FE5"/>
    <w:rsid w:val="0042548B"/>
    <w:rsid w:val="00432DAA"/>
    <w:rsid w:val="00434305"/>
    <w:rsid w:val="0043441C"/>
    <w:rsid w:val="004347D3"/>
    <w:rsid w:val="00435DF7"/>
    <w:rsid w:val="0043630C"/>
    <w:rsid w:val="0044083F"/>
    <w:rsid w:val="00441AE7"/>
    <w:rsid w:val="00445574"/>
    <w:rsid w:val="004467FB"/>
    <w:rsid w:val="00447A02"/>
    <w:rsid w:val="00452D6B"/>
    <w:rsid w:val="00454484"/>
    <w:rsid w:val="0045517B"/>
    <w:rsid w:val="00457CEC"/>
    <w:rsid w:val="0046146E"/>
    <w:rsid w:val="00463B77"/>
    <w:rsid w:val="00463C7B"/>
    <w:rsid w:val="004644A6"/>
    <w:rsid w:val="004659BD"/>
    <w:rsid w:val="00467FB1"/>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5DF1"/>
    <w:rsid w:val="004A63FA"/>
    <w:rsid w:val="004B04CD"/>
    <w:rsid w:val="004B2701"/>
    <w:rsid w:val="004B2E1B"/>
    <w:rsid w:val="004B34FD"/>
    <w:rsid w:val="004B3E93"/>
    <w:rsid w:val="004B6D6F"/>
    <w:rsid w:val="004B6DBB"/>
    <w:rsid w:val="004C1FBC"/>
    <w:rsid w:val="004C3F1D"/>
    <w:rsid w:val="004C458D"/>
    <w:rsid w:val="004C7556"/>
    <w:rsid w:val="004C7E9D"/>
    <w:rsid w:val="004C7F67"/>
    <w:rsid w:val="004D06C2"/>
    <w:rsid w:val="004D076D"/>
    <w:rsid w:val="004D08C7"/>
    <w:rsid w:val="004D0EF1"/>
    <w:rsid w:val="004D1F8A"/>
    <w:rsid w:val="004D2253"/>
    <w:rsid w:val="004D4406"/>
    <w:rsid w:val="004D7C42"/>
    <w:rsid w:val="004E0465"/>
    <w:rsid w:val="004E127B"/>
    <w:rsid w:val="004E1C0A"/>
    <w:rsid w:val="004E2C26"/>
    <w:rsid w:val="004E30C5"/>
    <w:rsid w:val="004E4AA5"/>
    <w:rsid w:val="004E4AEE"/>
    <w:rsid w:val="004E59E3"/>
    <w:rsid w:val="004E67C0"/>
    <w:rsid w:val="004E6CEA"/>
    <w:rsid w:val="004F06A3"/>
    <w:rsid w:val="004F391A"/>
    <w:rsid w:val="004F3CFB"/>
    <w:rsid w:val="004F6456"/>
    <w:rsid w:val="004F696E"/>
    <w:rsid w:val="004F6C71"/>
    <w:rsid w:val="00501139"/>
    <w:rsid w:val="00501F7F"/>
    <w:rsid w:val="0050363E"/>
    <w:rsid w:val="005039BC"/>
    <w:rsid w:val="005043BB"/>
    <w:rsid w:val="005047C2"/>
    <w:rsid w:val="00504A3D"/>
    <w:rsid w:val="00505767"/>
    <w:rsid w:val="005073F0"/>
    <w:rsid w:val="00510A7B"/>
    <w:rsid w:val="00512586"/>
    <w:rsid w:val="00512F6E"/>
    <w:rsid w:val="00513038"/>
    <w:rsid w:val="00514174"/>
    <w:rsid w:val="00514DF9"/>
    <w:rsid w:val="00516088"/>
    <w:rsid w:val="00516B0B"/>
    <w:rsid w:val="005220EC"/>
    <w:rsid w:val="005228E6"/>
    <w:rsid w:val="00523292"/>
    <w:rsid w:val="00523F34"/>
    <w:rsid w:val="00523F95"/>
    <w:rsid w:val="00524D65"/>
    <w:rsid w:val="00525B16"/>
    <w:rsid w:val="00533D04"/>
    <w:rsid w:val="00534804"/>
    <w:rsid w:val="00534BDF"/>
    <w:rsid w:val="005354EA"/>
    <w:rsid w:val="00535EC4"/>
    <w:rsid w:val="00535ED9"/>
    <w:rsid w:val="0053692B"/>
    <w:rsid w:val="00540ADB"/>
    <w:rsid w:val="00540BE6"/>
    <w:rsid w:val="00541853"/>
    <w:rsid w:val="00543B33"/>
    <w:rsid w:val="00543BDA"/>
    <w:rsid w:val="00543C7B"/>
    <w:rsid w:val="005441CC"/>
    <w:rsid w:val="005479DA"/>
    <w:rsid w:val="00547BCC"/>
    <w:rsid w:val="0055013B"/>
    <w:rsid w:val="00550AF5"/>
    <w:rsid w:val="00551F6F"/>
    <w:rsid w:val="00554532"/>
    <w:rsid w:val="00555044"/>
    <w:rsid w:val="00561475"/>
    <w:rsid w:val="0056487B"/>
    <w:rsid w:val="00564FB9"/>
    <w:rsid w:val="00573D9E"/>
    <w:rsid w:val="00574958"/>
    <w:rsid w:val="005801E3"/>
    <w:rsid w:val="00581802"/>
    <w:rsid w:val="005836A8"/>
    <w:rsid w:val="00584262"/>
    <w:rsid w:val="00584B80"/>
    <w:rsid w:val="00586630"/>
    <w:rsid w:val="00587ADD"/>
    <w:rsid w:val="00596160"/>
    <w:rsid w:val="005966E2"/>
    <w:rsid w:val="00597007"/>
    <w:rsid w:val="005A0966"/>
    <w:rsid w:val="005A11B7"/>
    <w:rsid w:val="005A260B"/>
    <w:rsid w:val="005A4A1B"/>
    <w:rsid w:val="005A56CA"/>
    <w:rsid w:val="005A7830"/>
    <w:rsid w:val="005A7FCE"/>
    <w:rsid w:val="005B0F3F"/>
    <w:rsid w:val="005B31AA"/>
    <w:rsid w:val="005B3D06"/>
    <w:rsid w:val="005B4903"/>
    <w:rsid w:val="005B51CE"/>
    <w:rsid w:val="005B5885"/>
    <w:rsid w:val="005B5CD7"/>
    <w:rsid w:val="005B5E85"/>
    <w:rsid w:val="005B6CF6"/>
    <w:rsid w:val="005B7422"/>
    <w:rsid w:val="005C084F"/>
    <w:rsid w:val="005C29B8"/>
    <w:rsid w:val="005C33CE"/>
    <w:rsid w:val="005C5F21"/>
    <w:rsid w:val="005C7156"/>
    <w:rsid w:val="005D0C75"/>
    <w:rsid w:val="005D13EA"/>
    <w:rsid w:val="005D4171"/>
    <w:rsid w:val="005D6A95"/>
    <w:rsid w:val="005D6B2C"/>
    <w:rsid w:val="005D6D9C"/>
    <w:rsid w:val="005D73A3"/>
    <w:rsid w:val="005E1C48"/>
    <w:rsid w:val="005E2335"/>
    <w:rsid w:val="005E34CA"/>
    <w:rsid w:val="005E38AF"/>
    <w:rsid w:val="005E3C18"/>
    <w:rsid w:val="005E5969"/>
    <w:rsid w:val="005E7881"/>
    <w:rsid w:val="005E78E0"/>
    <w:rsid w:val="005F0D9C"/>
    <w:rsid w:val="005F160A"/>
    <w:rsid w:val="005F284E"/>
    <w:rsid w:val="006002B2"/>
    <w:rsid w:val="006015CE"/>
    <w:rsid w:val="0060266D"/>
    <w:rsid w:val="00604784"/>
    <w:rsid w:val="00605FAA"/>
    <w:rsid w:val="00606419"/>
    <w:rsid w:val="00607D29"/>
    <w:rsid w:val="00612952"/>
    <w:rsid w:val="00614CC1"/>
    <w:rsid w:val="00615A9D"/>
    <w:rsid w:val="006162BE"/>
    <w:rsid w:val="00616BBB"/>
    <w:rsid w:val="00617387"/>
    <w:rsid w:val="006242C4"/>
    <w:rsid w:val="006252D8"/>
    <w:rsid w:val="006259BC"/>
    <w:rsid w:val="0062636B"/>
    <w:rsid w:val="00626922"/>
    <w:rsid w:val="006309BE"/>
    <w:rsid w:val="00632182"/>
    <w:rsid w:val="00632AE0"/>
    <w:rsid w:val="00632EC5"/>
    <w:rsid w:val="00633C17"/>
    <w:rsid w:val="00636077"/>
    <w:rsid w:val="00636E3E"/>
    <w:rsid w:val="006379F7"/>
    <w:rsid w:val="00637E4D"/>
    <w:rsid w:val="00640620"/>
    <w:rsid w:val="00641014"/>
    <w:rsid w:val="00641A1F"/>
    <w:rsid w:val="00643082"/>
    <w:rsid w:val="00645904"/>
    <w:rsid w:val="00651ACB"/>
    <w:rsid w:val="00651C47"/>
    <w:rsid w:val="00652AB2"/>
    <w:rsid w:val="006544EA"/>
    <w:rsid w:val="00654EC0"/>
    <w:rsid w:val="0065525B"/>
    <w:rsid w:val="00655D4F"/>
    <w:rsid w:val="006640E5"/>
    <w:rsid w:val="006646F1"/>
    <w:rsid w:val="00664929"/>
    <w:rsid w:val="00664F62"/>
    <w:rsid w:val="006655E1"/>
    <w:rsid w:val="00672060"/>
    <w:rsid w:val="00672BFD"/>
    <w:rsid w:val="00676C02"/>
    <w:rsid w:val="00676E1A"/>
    <w:rsid w:val="006770F4"/>
    <w:rsid w:val="00677A84"/>
    <w:rsid w:val="0068026D"/>
    <w:rsid w:val="00680A27"/>
    <w:rsid w:val="006816A4"/>
    <w:rsid w:val="006819B8"/>
    <w:rsid w:val="00682FD6"/>
    <w:rsid w:val="006840A6"/>
    <w:rsid w:val="006850CD"/>
    <w:rsid w:val="00685AAB"/>
    <w:rsid w:val="00685FA8"/>
    <w:rsid w:val="006942A8"/>
    <w:rsid w:val="006A07AA"/>
    <w:rsid w:val="006A25E5"/>
    <w:rsid w:val="006A2B46"/>
    <w:rsid w:val="006A336D"/>
    <w:rsid w:val="006A37B9"/>
    <w:rsid w:val="006A69DF"/>
    <w:rsid w:val="006B2672"/>
    <w:rsid w:val="006B54BF"/>
    <w:rsid w:val="006B5F44"/>
    <w:rsid w:val="006B5F90"/>
    <w:rsid w:val="006B62E4"/>
    <w:rsid w:val="006C1BBA"/>
    <w:rsid w:val="006C2079"/>
    <w:rsid w:val="006C5A62"/>
    <w:rsid w:val="006C5D68"/>
    <w:rsid w:val="006C6976"/>
    <w:rsid w:val="006C6DD0"/>
    <w:rsid w:val="006D04EA"/>
    <w:rsid w:val="006D16C4"/>
    <w:rsid w:val="006D34E0"/>
    <w:rsid w:val="006D3E96"/>
    <w:rsid w:val="006D4515"/>
    <w:rsid w:val="006D4BB1"/>
    <w:rsid w:val="006D6593"/>
    <w:rsid w:val="006E44F4"/>
    <w:rsid w:val="006F03A8"/>
    <w:rsid w:val="006F21AF"/>
    <w:rsid w:val="006F2ACA"/>
    <w:rsid w:val="006F2ADC"/>
    <w:rsid w:val="006F2BFE"/>
    <w:rsid w:val="006F31E9"/>
    <w:rsid w:val="006F6284"/>
    <w:rsid w:val="006F6F8F"/>
    <w:rsid w:val="007002C5"/>
    <w:rsid w:val="00704387"/>
    <w:rsid w:val="00707669"/>
    <w:rsid w:val="00711CBA"/>
    <w:rsid w:val="00711FB5"/>
    <w:rsid w:val="00712A01"/>
    <w:rsid w:val="00714F58"/>
    <w:rsid w:val="00722FBF"/>
    <w:rsid w:val="00722FC2"/>
    <w:rsid w:val="00725949"/>
    <w:rsid w:val="00727FA2"/>
    <w:rsid w:val="00730634"/>
    <w:rsid w:val="007322D9"/>
    <w:rsid w:val="00732BC0"/>
    <w:rsid w:val="00734D36"/>
    <w:rsid w:val="0073720F"/>
    <w:rsid w:val="00737796"/>
    <w:rsid w:val="007379B6"/>
    <w:rsid w:val="0074165C"/>
    <w:rsid w:val="007432CA"/>
    <w:rsid w:val="007439EB"/>
    <w:rsid w:val="00743CB4"/>
    <w:rsid w:val="00743F0A"/>
    <w:rsid w:val="007444E8"/>
    <w:rsid w:val="007446A3"/>
    <w:rsid w:val="0074548E"/>
    <w:rsid w:val="00745773"/>
    <w:rsid w:val="00746800"/>
    <w:rsid w:val="007501A8"/>
    <w:rsid w:val="0075042E"/>
    <w:rsid w:val="00750EE1"/>
    <w:rsid w:val="00752B4D"/>
    <w:rsid w:val="00755402"/>
    <w:rsid w:val="00756B26"/>
    <w:rsid w:val="00756EDF"/>
    <w:rsid w:val="007609A2"/>
    <w:rsid w:val="007633EC"/>
    <w:rsid w:val="00765C43"/>
    <w:rsid w:val="00765EFB"/>
    <w:rsid w:val="007671CA"/>
    <w:rsid w:val="00767C61"/>
    <w:rsid w:val="0077008A"/>
    <w:rsid w:val="00773C1F"/>
    <w:rsid w:val="00773F50"/>
    <w:rsid w:val="00774DA4"/>
    <w:rsid w:val="00776599"/>
    <w:rsid w:val="007778C5"/>
    <w:rsid w:val="0078114B"/>
    <w:rsid w:val="00781DD2"/>
    <w:rsid w:val="00783ECF"/>
    <w:rsid w:val="0078413A"/>
    <w:rsid w:val="00790CA3"/>
    <w:rsid w:val="00793C94"/>
    <w:rsid w:val="00795518"/>
    <w:rsid w:val="007959E8"/>
    <w:rsid w:val="00795E9C"/>
    <w:rsid w:val="007A0294"/>
    <w:rsid w:val="007A0521"/>
    <w:rsid w:val="007A061E"/>
    <w:rsid w:val="007A15C6"/>
    <w:rsid w:val="007A16DA"/>
    <w:rsid w:val="007A2E12"/>
    <w:rsid w:val="007A3475"/>
    <w:rsid w:val="007A3CDF"/>
    <w:rsid w:val="007A41C8"/>
    <w:rsid w:val="007A54CE"/>
    <w:rsid w:val="007A6B5A"/>
    <w:rsid w:val="007A7FFA"/>
    <w:rsid w:val="007B04EB"/>
    <w:rsid w:val="007B0D4F"/>
    <w:rsid w:val="007B27A9"/>
    <w:rsid w:val="007B5A3D"/>
    <w:rsid w:val="007B5B95"/>
    <w:rsid w:val="007B5E19"/>
    <w:rsid w:val="007B68EA"/>
    <w:rsid w:val="007C19E8"/>
    <w:rsid w:val="007C2D89"/>
    <w:rsid w:val="007C4593"/>
    <w:rsid w:val="007C5309"/>
    <w:rsid w:val="007C6069"/>
    <w:rsid w:val="007D06C4"/>
    <w:rsid w:val="007D1352"/>
    <w:rsid w:val="007D2508"/>
    <w:rsid w:val="007D346A"/>
    <w:rsid w:val="007D6518"/>
    <w:rsid w:val="007D6A3A"/>
    <w:rsid w:val="007D76BD"/>
    <w:rsid w:val="007E0BAF"/>
    <w:rsid w:val="007E0BF1"/>
    <w:rsid w:val="007E7CFE"/>
    <w:rsid w:val="007E7EE1"/>
    <w:rsid w:val="007F0ED8"/>
    <w:rsid w:val="007F0F63"/>
    <w:rsid w:val="007F1C98"/>
    <w:rsid w:val="007F3C7E"/>
    <w:rsid w:val="007F75CE"/>
    <w:rsid w:val="00800F63"/>
    <w:rsid w:val="008013A4"/>
    <w:rsid w:val="00801E51"/>
    <w:rsid w:val="008027CE"/>
    <w:rsid w:val="00802F42"/>
    <w:rsid w:val="0080315E"/>
    <w:rsid w:val="00804383"/>
    <w:rsid w:val="00804BB7"/>
    <w:rsid w:val="00810257"/>
    <w:rsid w:val="008104F5"/>
    <w:rsid w:val="00811072"/>
    <w:rsid w:val="00811369"/>
    <w:rsid w:val="00813BA4"/>
    <w:rsid w:val="00814E50"/>
    <w:rsid w:val="00815419"/>
    <w:rsid w:val="008163C8"/>
    <w:rsid w:val="00817325"/>
    <w:rsid w:val="008209E6"/>
    <w:rsid w:val="008226FC"/>
    <w:rsid w:val="00823303"/>
    <w:rsid w:val="008233B2"/>
    <w:rsid w:val="00823A9F"/>
    <w:rsid w:val="00823C85"/>
    <w:rsid w:val="00825138"/>
    <w:rsid w:val="008269DD"/>
    <w:rsid w:val="0082705E"/>
    <w:rsid w:val="00830621"/>
    <w:rsid w:val="0083348C"/>
    <w:rsid w:val="008373D3"/>
    <w:rsid w:val="00840617"/>
    <w:rsid w:val="00842A47"/>
    <w:rsid w:val="00843C13"/>
    <w:rsid w:val="00843D21"/>
    <w:rsid w:val="008454F8"/>
    <w:rsid w:val="00850BD0"/>
    <w:rsid w:val="00851342"/>
    <w:rsid w:val="0085173A"/>
    <w:rsid w:val="00852C4A"/>
    <w:rsid w:val="00853A22"/>
    <w:rsid w:val="008560A4"/>
    <w:rsid w:val="008603CE"/>
    <w:rsid w:val="008620FC"/>
    <w:rsid w:val="008622EA"/>
    <w:rsid w:val="008627A5"/>
    <w:rsid w:val="00863E05"/>
    <w:rsid w:val="00865ACA"/>
    <w:rsid w:val="00865D28"/>
    <w:rsid w:val="00865F85"/>
    <w:rsid w:val="00867453"/>
    <w:rsid w:val="0086751D"/>
    <w:rsid w:val="00867C10"/>
    <w:rsid w:val="008701FB"/>
    <w:rsid w:val="00870439"/>
    <w:rsid w:val="00870DA1"/>
    <w:rsid w:val="008768A1"/>
    <w:rsid w:val="00883EC3"/>
    <w:rsid w:val="00883F93"/>
    <w:rsid w:val="00884DB3"/>
    <w:rsid w:val="00885A9D"/>
    <w:rsid w:val="008864F6"/>
    <w:rsid w:val="0089049D"/>
    <w:rsid w:val="008928C9"/>
    <w:rsid w:val="008938DC"/>
    <w:rsid w:val="00893FD1"/>
    <w:rsid w:val="008943AA"/>
    <w:rsid w:val="00894836"/>
    <w:rsid w:val="00895172"/>
    <w:rsid w:val="00895680"/>
    <w:rsid w:val="00896DFF"/>
    <w:rsid w:val="0089762C"/>
    <w:rsid w:val="008A1893"/>
    <w:rsid w:val="008A5BD8"/>
    <w:rsid w:val="008A769A"/>
    <w:rsid w:val="008B0C9C"/>
    <w:rsid w:val="008B166D"/>
    <w:rsid w:val="008B17F4"/>
    <w:rsid w:val="008B3615"/>
    <w:rsid w:val="008B4AC4"/>
    <w:rsid w:val="008B50C8"/>
    <w:rsid w:val="008B5281"/>
    <w:rsid w:val="008B7E05"/>
    <w:rsid w:val="008C1797"/>
    <w:rsid w:val="008C219C"/>
    <w:rsid w:val="008C475E"/>
    <w:rsid w:val="008C619A"/>
    <w:rsid w:val="008C6C74"/>
    <w:rsid w:val="008C7B8E"/>
    <w:rsid w:val="008D0CE8"/>
    <w:rsid w:val="008D2D1D"/>
    <w:rsid w:val="008D44FF"/>
    <w:rsid w:val="008D453D"/>
    <w:rsid w:val="008D53AD"/>
    <w:rsid w:val="008D562B"/>
    <w:rsid w:val="008D5733"/>
    <w:rsid w:val="008D622B"/>
    <w:rsid w:val="008D666C"/>
    <w:rsid w:val="008D7554"/>
    <w:rsid w:val="008D7B54"/>
    <w:rsid w:val="008E0C9D"/>
    <w:rsid w:val="008E1648"/>
    <w:rsid w:val="008E1B3E"/>
    <w:rsid w:val="008E2319"/>
    <w:rsid w:val="008E4BB6"/>
    <w:rsid w:val="008E4D46"/>
    <w:rsid w:val="008E5518"/>
    <w:rsid w:val="008E6A84"/>
    <w:rsid w:val="008F0CDC"/>
    <w:rsid w:val="008F17A3"/>
    <w:rsid w:val="008F1ED3"/>
    <w:rsid w:val="008F4C29"/>
    <w:rsid w:val="008F50AE"/>
    <w:rsid w:val="008F54C8"/>
    <w:rsid w:val="008F70BD"/>
    <w:rsid w:val="008F788F"/>
    <w:rsid w:val="008F7EA2"/>
    <w:rsid w:val="00900E8C"/>
    <w:rsid w:val="00902722"/>
    <w:rsid w:val="009027BC"/>
    <w:rsid w:val="00905149"/>
    <w:rsid w:val="009062E6"/>
    <w:rsid w:val="00911BE5"/>
    <w:rsid w:val="00913CA9"/>
    <w:rsid w:val="009145AE"/>
    <w:rsid w:val="009146CE"/>
    <w:rsid w:val="00914CA7"/>
    <w:rsid w:val="00915C3E"/>
    <w:rsid w:val="009161A8"/>
    <w:rsid w:val="0091673D"/>
    <w:rsid w:val="00920CEA"/>
    <w:rsid w:val="009245F5"/>
    <w:rsid w:val="009249EC"/>
    <w:rsid w:val="00924A40"/>
    <w:rsid w:val="009273B3"/>
    <w:rsid w:val="009305B5"/>
    <w:rsid w:val="00934C12"/>
    <w:rsid w:val="009429D5"/>
    <w:rsid w:val="00942BF1"/>
    <w:rsid w:val="00945180"/>
    <w:rsid w:val="00945428"/>
    <w:rsid w:val="0094607B"/>
    <w:rsid w:val="009524E0"/>
    <w:rsid w:val="00952C52"/>
    <w:rsid w:val="00953604"/>
    <w:rsid w:val="009610DC"/>
    <w:rsid w:val="00961490"/>
    <w:rsid w:val="00961650"/>
    <w:rsid w:val="0096381A"/>
    <w:rsid w:val="00965E04"/>
    <w:rsid w:val="009674AD"/>
    <w:rsid w:val="0097094E"/>
    <w:rsid w:val="00970CDC"/>
    <w:rsid w:val="00971F81"/>
    <w:rsid w:val="009758E2"/>
    <w:rsid w:val="00977010"/>
    <w:rsid w:val="00977D02"/>
    <w:rsid w:val="009809BB"/>
    <w:rsid w:val="00982D22"/>
    <w:rsid w:val="00982D30"/>
    <w:rsid w:val="0098364B"/>
    <w:rsid w:val="00983BF9"/>
    <w:rsid w:val="00984327"/>
    <w:rsid w:val="009911AF"/>
    <w:rsid w:val="00991875"/>
    <w:rsid w:val="00991F92"/>
    <w:rsid w:val="009928D9"/>
    <w:rsid w:val="00992985"/>
    <w:rsid w:val="00992AE0"/>
    <w:rsid w:val="00992FBC"/>
    <w:rsid w:val="00993889"/>
    <w:rsid w:val="00993E90"/>
    <w:rsid w:val="00994050"/>
    <w:rsid w:val="0099551B"/>
    <w:rsid w:val="00997BF1"/>
    <w:rsid w:val="009A089C"/>
    <w:rsid w:val="009A118E"/>
    <w:rsid w:val="009A19C2"/>
    <w:rsid w:val="009A21CD"/>
    <w:rsid w:val="009A278C"/>
    <w:rsid w:val="009A2BC2"/>
    <w:rsid w:val="009A3454"/>
    <w:rsid w:val="009A3EEC"/>
    <w:rsid w:val="009A42C1"/>
    <w:rsid w:val="009A5429"/>
    <w:rsid w:val="009A72AD"/>
    <w:rsid w:val="009B09E0"/>
    <w:rsid w:val="009B0BC5"/>
    <w:rsid w:val="009B0F08"/>
    <w:rsid w:val="009B0F8E"/>
    <w:rsid w:val="009B1247"/>
    <w:rsid w:val="009B264B"/>
    <w:rsid w:val="009B3286"/>
    <w:rsid w:val="009B6029"/>
    <w:rsid w:val="009B6971"/>
    <w:rsid w:val="009C27F1"/>
    <w:rsid w:val="009C3152"/>
    <w:rsid w:val="009C3567"/>
    <w:rsid w:val="009C4CFA"/>
    <w:rsid w:val="009C5070"/>
    <w:rsid w:val="009D0470"/>
    <w:rsid w:val="009D112C"/>
    <w:rsid w:val="009D47FA"/>
    <w:rsid w:val="009D50D2"/>
    <w:rsid w:val="009D6BCA"/>
    <w:rsid w:val="009E0F62"/>
    <w:rsid w:val="009E3844"/>
    <w:rsid w:val="009E4A58"/>
    <w:rsid w:val="009E5422"/>
    <w:rsid w:val="009E5A2D"/>
    <w:rsid w:val="009E5AB2"/>
    <w:rsid w:val="009E6219"/>
    <w:rsid w:val="009E7BB8"/>
    <w:rsid w:val="009F03B3"/>
    <w:rsid w:val="009F1DE0"/>
    <w:rsid w:val="009F5DAA"/>
    <w:rsid w:val="00A01757"/>
    <w:rsid w:val="00A028C0"/>
    <w:rsid w:val="00A02BAE"/>
    <w:rsid w:val="00A035F1"/>
    <w:rsid w:val="00A038F3"/>
    <w:rsid w:val="00A03A7E"/>
    <w:rsid w:val="00A06345"/>
    <w:rsid w:val="00A06A6B"/>
    <w:rsid w:val="00A07E47"/>
    <w:rsid w:val="00A129D0"/>
    <w:rsid w:val="00A12C33"/>
    <w:rsid w:val="00A131ED"/>
    <w:rsid w:val="00A138BA"/>
    <w:rsid w:val="00A14C8E"/>
    <w:rsid w:val="00A153D9"/>
    <w:rsid w:val="00A15F09"/>
    <w:rsid w:val="00A169B6"/>
    <w:rsid w:val="00A20702"/>
    <w:rsid w:val="00A2271D"/>
    <w:rsid w:val="00A2287B"/>
    <w:rsid w:val="00A236E5"/>
    <w:rsid w:val="00A237D5"/>
    <w:rsid w:val="00A24F7B"/>
    <w:rsid w:val="00A27F3A"/>
    <w:rsid w:val="00A30EFC"/>
    <w:rsid w:val="00A31984"/>
    <w:rsid w:val="00A322D0"/>
    <w:rsid w:val="00A32D73"/>
    <w:rsid w:val="00A32ECE"/>
    <w:rsid w:val="00A32F47"/>
    <w:rsid w:val="00A3367B"/>
    <w:rsid w:val="00A3597D"/>
    <w:rsid w:val="00A40091"/>
    <w:rsid w:val="00A4030F"/>
    <w:rsid w:val="00A41C79"/>
    <w:rsid w:val="00A41CB5"/>
    <w:rsid w:val="00A4266A"/>
    <w:rsid w:val="00A42917"/>
    <w:rsid w:val="00A42CDF"/>
    <w:rsid w:val="00A4452E"/>
    <w:rsid w:val="00A4472C"/>
    <w:rsid w:val="00A44E69"/>
    <w:rsid w:val="00A4661E"/>
    <w:rsid w:val="00A4798F"/>
    <w:rsid w:val="00A50F2D"/>
    <w:rsid w:val="00A55BD6"/>
    <w:rsid w:val="00A55D50"/>
    <w:rsid w:val="00A56792"/>
    <w:rsid w:val="00A57142"/>
    <w:rsid w:val="00A646A6"/>
    <w:rsid w:val="00A648CD"/>
    <w:rsid w:val="00A6537A"/>
    <w:rsid w:val="00A67866"/>
    <w:rsid w:val="00A70B07"/>
    <w:rsid w:val="00A723F8"/>
    <w:rsid w:val="00A75840"/>
    <w:rsid w:val="00A75A14"/>
    <w:rsid w:val="00A76274"/>
    <w:rsid w:val="00A77CCB"/>
    <w:rsid w:val="00A802CA"/>
    <w:rsid w:val="00A83369"/>
    <w:rsid w:val="00A83D8D"/>
    <w:rsid w:val="00A8446B"/>
    <w:rsid w:val="00A84736"/>
    <w:rsid w:val="00A8473F"/>
    <w:rsid w:val="00A862D6"/>
    <w:rsid w:val="00A8715E"/>
    <w:rsid w:val="00A9295B"/>
    <w:rsid w:val="00A93B09"/>
    <w:rsid w:val="00A952D7"/>
    <w:rsid w:val="00A95595"/>
    <w:rsid w:val="00A95A87"/>
    <w:rsid w:val="00A963F7"/>
    <w:rsid w:val="00A96AD8"/>
    <w:rsid w:val="00AA052C"/>
    <w:rsid w:val="00AA1E45"/>
    <w:rsid w:val="00AA2A24"/>
    <w:rsid w:val="00AA4286"/>
    <w:rsid w:val="00AA456B"/>
    <w:rsid w:val="00AA57F5"/>
    <w:rsid w:val="00AA672E"/>
    <w:rsid w:val="00AA6EC9"/>
    <w:rsid w:val="00AB1489"/>
    <w:rsid w:val="00AB6309"/>
    <w:rsid w:val="00AB6C5F"/>
    <w:rsid w:val="00AB7129"/>
    <w:rsid w:val="00AB787F"/>
    <w:rsid w:val="00AC27A6"/>
    <w:rsid w:val="00AC30F7"/>
    <w:rsid w:val="00AC3A5A"/>
    <w:rsid w:val="00AC4D95"/>
    <w:rsid w:val="00AC5B07"/>
    <w:rsid w:val="00AC5DF4"/>
    <w:rsid w:val="00AC6ECF"/>
    <w:rsid w:val="00AD0AEF"/>
    <w:rsid w:val="00AD11B7"/>
    <w:rsid w:val="00AD1A94"/>
    <w:rsid w:val="00AD1C05"/>
    <w:rsid w:val="00AD2278"/>
    <w:rsid w:val="00AD3367"/>
    <w:rsid w:val="00AD34C4"/>
    <w:rsid w:val="00AD4126"/>
    <w:rsid w:val="00AD421C"/>
    <w:rsid w:val="00AD44FA"/>
    <w:rsid w:val="00AE070A"/>
    <w:rsid w:val="00AE101C"/>
    <w:rsid w:val="00AF0C18"/>
    <w:rsid w:val="00AF0D65"/>
    <w:rsid w:val="00AF40EF"/>
    <w:rsid w:val="00AF47C5"/>
    <w:rsid w:val="00AF5398"/>
    <w:rsid w:val="00B02D24"/>
    <w:rsid w:val="00B049AF"/>
    <w:rsid w:val="00B07242"/>
    <w:rsid w:val="00B10534"/>
    <w:rsid w:val="00B113DB"/>
    <w:rsid w:val="00B11D8A"/>
    <w:rsid w:val="00B12981"/>
    <w:rsid w:val="00B13367"/>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950"/>
    <w:rsid w:val="00B52120"/>
    <w:rsid w:val="00B54ABC"/>
    <w:rsid w:val="00B56FBE"/>
    <w:rsid w:val="00B62B58"/>
    <w:rsid w:val="00B65149"/>
    <w:rsid w:val="00B65351"/>
    <w:rsid w:val="00B66567"/>
    <w:rsid w:val="00B66F52"/>
    <w:rsid w:val="00B66FE5"/>
    <w:rsid w:val="00B675B7"/>
    <w:rsid w:val="00B72880"/>
    <w:rsid w:val="00B758BF"/>
    <w:rsid w:val="00B827A6"/>
    <w:rsid w:val="00B831CE"/>
    <w:rsid w:val="00B84F4A"/>
    <w:rsid w:val="00B8656E"/>
    <w:rsid w:val="00B86677"/>
    <w:rsid w:val="00B87131"/>
    <w:rsid w:val="00B9127B"/>
    <w:rsid w:val="00B91566"/>
    <w:rsid w:val="00B9320C"/>
    <w:rsid w:val="00B939B1"/>
    <w:rsid w:val="00B96D40"/>
    <w:rsid w:val="00B97386"/>
    <w:rsid w:val="00BA263B"/>
    <w:rsid w:val="00BA42B2"/>
    <w:rsid w:val="00BA58D4"/>
    <w:rsid w:val="00BA5B9E"/>
    <w:rsid w:val="00BA61C1"/>
    <w:rsid w:val="00BA7BAC"/>
    <w:rsid w:val="00BA7C9A"/>
    <w:rsid w:val="00BB03F9"/>
    <w:rsid w:val="00BB5F8F"/>
    <w:rsid w:val="00BB657A"/>
    <w:rsid w:val="00BB6FFA"/>
    <w:rsid w:val="00BC1A4E"/>
    <w:rsid w:val="00BC3019"/>
    <w:rsid w:val="00BC44F5"/>
    <w:rsid w:val="00BC5DC7"/>
    <w:rsid w:val="00BC66EA"/>
    <w:rsid w:val="00BC6B8B"/>
    <w:rsid w:val="00BC73D8"/>
    <w:rsid w:val="00BD377A"/>
    <w:rsid w:val="00BD4062"/>
    <w:rsid w:val="00BD44AF"/>
    <w:rsid w:val="00BD52D7"/>
    <w:rsid w:val="00BD5AD2"/>
    <w:rsid w:val="00BD6082"/>
    <w:rsid w:val="00BE22F3"/>
    <w:rsid w:val="00BE4904"/>
    <w:rsid w:val="00BE49EE"/>
    <w:rsid w:val="00BE5015"/>
    <w:rsid w:val="00BE5B52"/>
    <w:rsid w:val="00BE7B8D"/>
    <w:rsid w:val="00BF0993"/>
    <w:rsid w:val="00BF10A9"/>
    <w:rsid w:val="00BF1703"/>
    <w:rsid w:val="00BF231C"/>
    <w:rsid w:val="00BF51E5"/>
    <w:rsid w:val="00BF74A6"/>
    <w:rsid w:val="00C013AD"/>
    <w:rsid w:val="00C04904"/>
    <w:rsid w:val="00C05504"/>
    <w:rsid w:val="00C056B3"/>
    <w:rsid w:val="00C103E5"/>
    <w:rsid w:val="00C10573"/>
    <w:rsid w:val="00C10B42"/>
    <w:rsid w:val="00C13319"/>
    <w:rsid w:val="00C13EE9"/>
    <w:rsid w:val="00C14D87"/>
    <w:rsid w:val="00C17301"/>
    <w:rsid w:val="00C200AD"/>
    <w:rsid w:val="00C21540"/>
    <w:rsid w:val="00C21906"/>
    <w:rsid w:val="00C21BFA"/>
    <w:rsid w:val="00C24C8D"/>
    <w:rsid w:val="00C25FE2"/>
    <w:rsid w:val="00C26B53"/>
    <w:rsid w:val="00C2720A"/>
    <w:rsid w:val="00C279B2"/>
    <w:rsid w:val="00C33E50"/>
    <w:rsid w:val="00C34C20"/>
    <w:rsid w:val="00C35A3E"/>
    <w:rsid w:val="00C42130"/>
    <w:rsid w:val="00C423A4"/>
    <w:rsid w:val="00C44BF5"/>
    <w:rsid w:val="00C450D2"/>
    <w:rsid w:val="00C45633"/>
    <w:rsid w:val="00C524A1"/>
    <w:rsid w:val="00C53D46"/>
    <w:rsid w:val="00C55232"/>
    <w:rsid w:val="00C553A4"/>
    <w:rsid w:val="00C55A06"/>
    <w:rsid w:val="00C55D03"/>
    <w:rsid w:val="00C601BC"/>
    <w:rsid w:val="00C6329F"/>
    <w:rsid w:val="00C63340"/>
    <w:rsid w:val="00C63866"/>
    <w:rsid w:val="00C643F9"/>
    <w:rsid w:val="00C64E95"/>
    <w:rsid w:val="00C655FD"/>
    <w:rsid w:val="00C71372"/>
    <w:rsid w:val="00C72410"/>
    <w:rsid w:val="00C7287F"/>
    <w:rsid w:val="00C72F0E"/>
    <w:rsid w:val="00C76068"/>
    <w:rsid w:val="00C80CB8"/>
    <w:rsid w:val="00C819F8"/>
    <w:rsid w:val="00C8248C"/>
    <w:rsid w:val="00C83937"/>
    <w:rsid w:val="00C842CC"/>
    <w:rsid w:val="00C84E33"/>
    <w:rsid w:val="00C86D6F"/>
    <w:rsid w:val="00C905FC"/>
    <w:rsid w:val="00C92D03"/>
    <w:rsid w:val="00C9319C"/>
    <w:rsid w:val="00C9435D"/>
    <w:rsid w:val="00C94FAB"/>
    <w:rsid w:val="00C9517F"/>
    <w:rsid w:val="00C96741"/>
    <w:rsid w:val="00C975D6"/>
    <w:rsid w:val="00CA12F6"/>
    <w:rsid w:val="00CA2D1B"/>
    <w:rsid w:val="00CA4D33"/>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3273"/>
    <w:rsid w:val="00CF048A"/>
    <w:rsid w:val="00CF155A"/>
    <w:rsid w:val="00CF23CB"/>
    <w:rsid w:val="00CF2947"/>
    <w:rsid w:val="00CF44B1"/>
    <w:rsid w:val="00CF686F"/>
    <w:rsid w:val="00CF6E60"/>
    <w:rsid w:val="00CF7BCA"/>
    <w:rsid w:val="00D008FD"/>
    <w:rsid w:val="00D00965"/>
    <w:rsid w:val="00D02CD3"/>
    <w:rsid w:val="00D0321C"/>
    <w:rsid w:val="00D035EC"/>
    <w:rsid w:val="00D06AB1"/>
    <w:rsid w:val="00D072ED"/>
    <w:rsid w:val="00D07A16"/>
    <w:rsid w:val="00D1008D"/>
    <w:rsid w:val="00D1067E"/>
    <w:rsid w:val="00D10F50"/>
    <w:rsid w:val="00D11272"/>
    <w:rsid w:val="00D126F5"/>
    <w:rsid w:val="00D1489E"/>
    <w:rsid w:val="00D16513"/>
    <w:rsid w:val="00D176E2"/>
    <w:rsid w:val="00D20737"/>
    <w:rsid w:val="00D20F90"/>
    <w:rsid w:val="00D21E81"/>
    <w:rsid w:val="00D223DE"/>
    <w:rsid w:val="00D25E37"/>
    <w:rsid w:val="00D2661A"/>
    <w:rsid w:val="00D27582"/>
    <w:rsid w:val="00D31745"/>
    <w:rsid w:val="00D32719"/>
    <w:rsid w:val="00D33333"/>
    <w:rsid w:val="00D352A2"/>
    <w:rsid w:val="00D40A83"/>
    <w:rsid w:val="00D4162B"/>
    <w:rsid w:val="00D420B9"/>
    <w:rsid w:val="00D44CE6"/>
    <w:rsid w:val="00D4514F"/>
    <w:rsid w:val="00D451E2"/>
    <w:rsid w:val="00D4545E"/>
    <w:rsid w:val="00D45E89"/>
    <w:rsid w:val="00D45E8D"/>
    <w:rsid w:val="00D466AE"/>
    <w:rsid w:val="00D4734F"/>
    <w:rsid w:val="00D51BF3"/>
    <w:rsid w:val="00D57C6E"/>
    <w:rsid w:val="00D6041A"/>
    <w:rsid w:val="00D613E6"/>
    <w:rsid w:val="00D63276"/>
    <w:rsid w:val="00D656F6"/>
    <w:rsid w:val="00D66846"/>
    <w:rsid w:val="00D675FB"/>
    <w:rsid w:val="00D70C3C"/>
    <w:rsid w:val="00D71F25"/>
    <w:rsid w:val="00D77031"/>
    <w:rsid w:val="00D84941"/>
    <w:rsid w:val="00D84FA1"/>
    <w:rsid w:val="00D851F0"/>
    <w:rsid w:val="00D86DB7"/>
    <w:rsid w:val="00D926D0"/>
    <w:rsid w:val="00D93030"/>
    <w:rsid w:val="00D94EB9"/>
    <w:rsid w:val="00D950E1"/>
    <w:rsid w:val="00D952A6"/>
    <w:rsid w:val="00D97F99"/>
    <w:rsid w:val="00DA19E7"/>
    <w:rsid w:val="00DA1E08"/>
    <w:rsid w:val="00DA24F8"/>
    <w:rsid w:val="00DA28E8"/>
    <w:rsid w:val="00DA38D3"/>
    <w:rsid w:val="00DA3932"/>
    <w:rsid w:val="00DA64F8"/>
    <w:rsid w:val="00DA6C15"/>
    <w:rsid w:val="00DA7370"/>
    <w:rsid w:val="00DB0D5F"/>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1A7D"/>
    <w:rsid w:val="00DE2410"/>
    <w:rsid w:val="00DE2939"/>
    <w:rsid w:val="00DE51F0"/>
    <w:rsid w:val="00DE6E81"/>
    <w:rsid w:val="00DE703F"/>
    <w:rsid w:val="00DE7595"/>
    <w:rsid w:val="00DF0C69"/>
    <w:rsid w:val="00DF15BE"/>
    <w:rsid w:val="00DF1961"/>
    <w:rsid w:val="00DF44DE"/>
    <w:rsid w:val="00DF673E"/>
    <w:rsid w:val="00DF763B"/>
    <w:rsid w:val="00DF7E82"/>
    <w:rsid w:val="00E01138"/>
    <w:rsid w:val="00E02DFB"/>
    <w:rsid w:val="00E030F9"/>
    <w:rsid w:val="00E0311A"/>
    <w:rsid w:val="00E03138"/>
    <w:rsid w:val="00E06404"/>
    <w:rsid w:val="00E11339"/>
    <w:rsid w:val="00E11A85"/>
    <w:rsid w:val="00E12495"/>
    <w:rsid w:val="00E1328C"/>
    <w:rsid w:val="00E15CCD"/>
    <w:rsid w:val="00E202EF"/>
    <w:rsid w:val="00E210B5"/>
    <w:rsid w:val="00E239D4"/>
    <w:rsid w:val="00E2552F"/>
    <w:rsid w:val="00E3137A"/>
    <w:rsid w:val="00E32CCF"/>
    <w:rsid w:val="00E34535"/>
    <w:rsid w:val="00E34A98"/>
    <w:rsid w:val="00E35D1E"/>
    <w:rsid w:val="00E364F9"/>
    <w:rsid w:val="00E365FA"/>
    <w:rsid w:val="00E37CA5"/>
    <w:rsid w:val="00E40C94"/>
    <w:rsid w:val="00E42960"/>
    <w:rsid w:val="00E44A83"/>
    <w:rsid w:val="00E46DF9"/>
    <w:rsid w:val="00E46EEB"/>
    <w:rsid w:val="00E502C1"/>
    <w:rsid w:val="00E502DD"/>
    <w:rsid w:val="00E50D3A"/>
    <w:rsid w:val="00E51387"/>
    <w:rsid w:val="00E51E68"/>
    <w:rsid w:val="00E52EFD"/>
    <w:rsid w:val="00E53668"/>
    <w:rsid w:val="00E5408A"/>
    <w:rsid w:val="00E545F2"/>
    <w:rsid w:val="00E54D85"/>
    <w:rsid w:val="00E56800"/>
    <w:rsid w:val="00E60CD7"/>
    <w:rsid w:val="00E621C4"/>
    <w:rsid w:val="00E625D2"/>
    <w:rsid w:val="00E62FF9"/>
    <w:rsid w:val="00E635D6"/>
    <w:rsid w:val="00E639BC"/>
    <w:rsid w:val="00E65283"/>
    <w:rsid w:val="00E664CC"/>
    <w:rsid w:val="00E701CE"/>
    <w:rsid w:val="00E70388"/>
    <w:rsid w:val="00E70F92"/>
    <w:rsid w:val="00E7139E"/>
    <w:rsid w:val="00E74ABF"/>
    <w:rsid w:val="00E74C54"/>
    <w:rsid w:val="00E77A03"/>
    <w:rsid w:val="00E77E10"/>
    <w:rsid w:val="00E81B01"/>
    <w:rsid w:val="00E822E8"/>
    <w:rsid w:val="00E82554"/>
    <w:rsid w:val="00E82606"/>
    <w:rsid w:val="00E840AC"/>
    <w:rsid w:val="00E846C8"/>
    <w:rsid w:val="00E84957"/>
    <w:rsid w:val="00E84A55"/>
    <w:rsid w:val="00E84E76"/>
    <w:rsid w:val="00E85BFF"/>
    <w:rsid w:val="00E879EB"/>
    <w:rsid w:val="00E90391"/>
    <w:rsid w:val="00E906C2"/>
    <w:rsid w:val="00E9311F"/>
    <w:rsid w:val="00E934D1"/>
    <w:rsid w:val="00E94AF0"/>
    <w:rsid w:val="00E95D13"/>
    <w:rsid w:val="00E95DD3"/>
    <w:rsid w:val="00E969D5"/>
    <w:rsid w:val="00EA03EF"/>
    <w:rsid w:val="00EA1324"/>
    <w:rsid w:val="00EA58D1"/>
    <w:rsid w:val="00EA61BC"/>
    <w:rsid w:val="00EA681A"/>
    <w:rsid w:val="00EA735B"/>
    <w:rsid w:val="00EB1E69"/>
    <w:rsid w:val="00EB2086"/>
    <w:rsid w:val="00EB4D0C"/>
    <w:rsid w:val="00EB5EDF"/>
    <w:rsid w:val="00EB60FE"/>
    <w:rsid w:val="00EB65FA"/>
    <w:rsid w:val="00EB74DB"/>
    <w:rsid w:val="00EC1D25"/>
    <w:rsid w:val="00EC2D2D"/>
    <w:rsid w:val="00EC30E2"/>
    <w:rsid w:val="00EC5359"/>
    <w:rsid w:val="00EC562A"/>
    <w:rsid w:val="00ED067A"/>
    <w:rsid w:val="00ED0E1C"/>
    <w:rsid w:val="00ED1CE2"/>
    <w:rsid w:val="00ED2B50"/>
    <w:rsid w:val="00ED5BFC"/>
    <w:rsid w:val="00EE0350"/>
    <w:rsid w:val="00EE0719"/>
    <w:rsid w:val="00EE0E80"/>
    <w:rsid w:val="00EE3F78"/>
    <w:rsid w:val="00EE613F"/>
    <w:rsid w:val="00EE7295"/>
    <w:rsid w:val="00EE7869"/>
    <w:rsid w:val="00EF054A"/>
    <w:rsid w:val="00EF3235"/>
    <w:rsid w:val="00EF7E72"/>
    <w:rsid w:val="00F069BD"/>
    <w:rsid w:val="00F06D37"/>
    <w:rsid w:val="00F07B9D"/>
    <w:rsid w:val="00F110A6"/>
    <w:rsid w:val="00F11586"/>
    <w:rsid w:val="00F1183B"/>
    <w:rsid w:val="00F11C9F"/>
    <w:rsid w:val="00F120F1"/>
    <w:rsid w:val="00F12263"/>
    <w:rsid w:val="00F1409D"/>
    <w:rsid w:val="00F14214"/>
    <w:rsid w:val="00F146BD"/>
    <w:rsid w:val="00F157A9"/>
    <w:rsid w:val="00F17574"/>
    <w:rsid w:val="00F25BB6"/>
    <w:rsid w:val="00F26B2E"/>
    <w:rsid w:val="00F26B7E"/>
    <w:rsid w:val="00F27A3B"/>
    <w:rsid w:val="00F33817"/>
    <w:rsid w:val="00F420D5"/>
    <w:rsid w:val="00F44138"/>
    <w:rsid w:val="00F451EA"/>
    <w:rsid w:val="00F4527B"/>
    <w:rsid w:val="00F45447"/>
    <w:rsid w:val="00F456C6"/>
    <w:rsid w:val="00F4577B"/>
    <w:rsid w:val="00F46496"/>
    <w:rsid w:val="00F47071"/>
    <w:rsid w:val="00F474D0"/>
    <w:rsid w:val="00F50179"/>
    <w:rsid w:val="00F548FE"/>
    <w:rsid w:val="00F56511"/>
    <w:rsid w:val="00F6194E"/>
    <w:rsid w:val="00F623AC"/>
    <w:rsid w:val="00F6318D"/>
    <w:rsid w:val="00F6412A"/>
    <w:rsid w:val="00F65893"/>
    <w:rsid w:val="00F66A4A"/>
    <w:rsid w:val="00F67FFC"/>
    <w:rsid w:val="00F71E22"/>
    <w:rsid w:val="00F72142"/>
    <w:rsid w:val="00F727BB"/>
    <w:rsid w:val="00F72AE7"/>
    <w:rsid w:val="00F83CC5"/>
    <w:rsid w:val="00F83F94"/>
    <w:rsid w:val="00F84934"/>
    <w:rsid w:val="00F84FD0"/>
    <w:rsid w:val="00F859A8"/>
    <w:rsid w:val="00F9108B"/>
    <w:rsid w:val="00F91349"/>
    <w:rsid w:val="00F93A8A"/>
    <w:rsid w:val="00F95248"/>
    <w:rsid w:val="00F956A9"/>
    <w:rsid w:val="00F963ED"/>
    <w:rsid w:val="00F966CF"/>
    <w:rsid w:val="00F96CAE"/>
    <w:rsid w:val="00F97C99"/>
    <w:rsid w:val="00FA539E"/>
    <w:rsid w:val="00FA5608"/>
    <w:rsid w:val="00FA662D"/>
    <w:rsid w:val="00FA6B9B"/>
    <w:rsid w:val="00FA73B1"/>
    <w:rsid w:val="00FB0CB9"/>
    <w:rsid w:val="00FB45F1"/>
    <w:rsid w:val="00FB4A72"/>
    <w:rsid w:val="00FB54E8"/>
    <w:rsid w:val="00FB7054"/>
    <w:rsid w:val="00FC17B7"/>
    <w:rsid w:val="00FC2CB7"/>
    <w:rsid w:val="00FC302F"/>
    <w:rsid w:val="00FC4090"/>
    <w:rsid w:val="00FC55B4"/>
    <w:rsid w:val="00FD00E6"/>
    <w:rsid w:val="00FD075A"/>
    <w:rsid w:val="00FD09A1"/>
    <w:rsid w:val="00FD2A7C"/>
    <w:rsid w:val="00FD59EB"/>
    <w:rsid w:val="00FD7299"/>
    <w:rsid w:val="00FE1FBE"/>
    <w:rsid w:val="00FE3901"/>
    <w:rsid w:val="00FE4531"/>
    <w:rsid w:val="00FE4BCE"/>
    <w:rsid w:val="00FE54AE"/>
    <w:rsid w:val="00FE576A"/>
    <w:rsid w:val="00FE61CF"/>
    <w:rsid w:val="00FE6390"/>
    <w:rsid w:val="00FE7E79"/>
    <w:rsid w:val="00FF1AFA"/>
    <w:rsid w:val="00FF3E7D"/>
    <w:rsid w:val="00FF55C2"/>
    <w:rsid w:val="00FF5B86"/>
    <w:rsid w:val="00FF5B99"/>
    <w:rsid w:val="00FF730C"/>
    <w:rsid w:val="00FF73F4"/>
    <w:rsid w:val="00FF7CE4"/>
    <w:rsid w:val="00FF7E39"/>
    <w:rsid w:val="062F5C69"/>
    <w:rsid w:val="0667756F"/>
    <w:rsid w:val="0822324E"/>
    <w:rsid w:val="15717B03"/>
    <w:rsid w:val="1B941D67"/>
    <w:rsid w:val="2E0E2CC4"/>
    <w:rsid w:val="33092606"/>
    <w:rsid w:val="332930F1"/>
    <w:rsid w:val="3AD84407"/>
    <w:rsid w:val="3CA64246"/>
    <w:rsid w:val="45791E24"/>
    <w:rsid w:val="4966336E"/>
    <w:rsid w:val="4B2212EC"/>
    <w:rsid w:val="4F1B4E8A"/>
    <w:rsid w:val="608B7265"/>
    <w:rsid w:val="62B54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5"/>
    <w:semiHidden/>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6"/>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rFonts w:ascii="Times New Roman" w:hAnsi="Times New Roman" w:eastAsia="宋体" w:cs="Times New Roman"/>
      <w:b/>
      <w:bCs/>
      <w:kern w:val="44"/>
      <w:sz w:val="44"/>
      <w:szCs w:val="44"/>
    </w:rPr>
  </w:style>
  <w:style w:type="character" w:customStyle="1" w:styleId="38">
    <w:name w:val="标题 2 字符"/>
    <w:link w:val="3"/>
    <w:qFormat/>
    <w:uiPriority w:val="0"/>
    <w:rPr>
      <w:rFonts w:ascii="Arial" w:hAnsi="Arial" w:eastAsia="黑体" w:cs="Times New Roman"/>
      <w:b/>
      <w:bCs/>
      <w:sz w:val="32"/>
      <w:szCs w:val="32"/>
    </w:rPr>
  </w:style>
  <w:style w:type="character" w:customStyle="1" w:styleId="39">
    <w:name w:val="标题 3 字符"/>
    <w:link w:val="4"/>
    <w:qFormat/>
    <w:uiPriority w:val="0"/>
    <w:rPr>
      <w:rFonts w:ascii="Times New Roman" w:hAnsi="Times New Roman" w:eastAsia="宋体" w:cs="Times New Roman"/>
      <w:b/>
      <w:bCs/>
      <w:sz w:val="32"/>
      <w:szCs w:val="32"/>
    </w:rPr>
  </w:style>
  <w:style w:type="character" w:customStyle="1" w:styleId="40">
    <w:name w:val="标题 4 字符"/>
    <w:link w:val="5"/>
    <w:qFormat/>
    <w:uiPriority w:val="0"/>
    <w:rPr>
      <w:rFonts w:ascii="Arial" w:hAnsi="Arial" w:eastAsia="黑体" w:cs="Times New Roman"/>
      <w:b/>
      <w:bCs/>
      <w:sz w:val="28"/>
      <w:szCs w:val="28"/>
    </w:rPr>
  </w:style>
  <w:style w:type="character" w:customStyle="1" w:styleId="41">
    <w:name w:val="标题 5 字符"/>
    <w:link w:val="6"/>
    <w:qFormat/>
    <w:uiPriority w:val="0"/>
    <w:rPr>
      <w:rFonts w:ascii="Times New Roman" w:hAnsi="Times New Roman" w:eastAsia="宋体" w:cs="Times New Roman"/>
      <w:b/>
      <w:bCs/>
      <w:sz w:val="28"/>
      <w:szCs w:val="28"/>
    </w:rPr>
  </w:style>
  <w:style w:type="character" w:customStyle="1" w:styleId="42">
    <w:name w:val="标题 6 字符"/>
    <w:link w:val="7"/>
    <w:qFormat/>
    <w:uiPriority w:val="0"/>
    <w:rPr>
      <w:rFonts w:ascii="Arial" w:hAnsi="Arial" w:eastAsia="黑体" w:cs="Times New Roman"/>
      <w:b/>
      <w:bCs/>
      <w:sz w:val="24"/>
      <w:szCs w:val="24"/>
    </w:rPr>
  </w:style>
  <w:style w:type="character" w:customStyle="1" w:styleId="43">
    <w:name w:val="标题 7 字符"/>
    <w:link w:val="8"/>
    <w:qFormat/>
    <w:uiPriority w:val="0"/>
    <w:rPr>
      <w:rFonts w:ascii="Times New Roman" w:hAnsi="Times New Roman" w:eastAsia="宋体" w:cs="Times New Roman"/>
      <w:b/>
      <w:bCs/>
      <w:sz w:val="24"/>
      <w:szCs w:val="24"/>
    </w:rPr>
  </w:style>
  <w:style w:type="character" w:customStyle="1" w:styleId="44">
    <w:name w:val="标题 8 字符"/>
    <w:link w:val="9"/>
    <w:qFormat/>
    <w:uiPriority w:val="0"/>
    <w:rPr>
      <w:rFonts w:ascii="Arial" w:hAnsi="Arial" w:eastAsia="黑体" w:cs="Times New Roman"/>
      <w:sz w:val="24"/>
      <w:szCs w:val="24"/>
    </w:rPr>
  </w:style>
  <w:style w:type="character" w:customStyle="1" w:styleId="45">
    <w:name w:val="标题 9 字符"/>
    <w:link w:val="10"/>
    <w:qFormat/>
    <w:uiPriority w:val="0"/>
    <w:rPr>
      <w:rFonts w:ascii="Arial" w:hAnsi="Arial" w:eastAsia="黑体" w:cs="Times New Roman"/>
      <w:szCs w:val="21"/>
    </w:rPr>
  </w:style>
  <w:style w:type="character" w:customStyle="1" w:styleId="46">
    <w:name w:val="页眉 字符"/>
    <w:link w:val="19"/>
    <w:qFormat/>
    <w:uiPriority w:val="99"/>
    <w:rPr>
      <w:rFonts w:ascii="Times New Roman" w:hAnsi="Times New Roman" w:eastAsia="宋体" w:cs="Times New Roman"/>
      <w:sz w:val="18"/>
      <w:szCs w:val="18"/>
    </w:rPr>
  </w:style>
  <w:style w:type="character" w:customStyle="1" w:styleId="47">
    <w:name w:val="页脚 字符"/>
    <w:link w:val="18"/>
    <w:qFormat/>
    <w:uiPriority w:val="99"/>
    <w:rPr>
      <w:rFonts w:ascii="宋体" w:hAnsi="Times New Roman" w:eastAsia="宋体" w:cs="Times New Roman"/>
      <w:sz w:val="18"/>
      <w:szCs w:val="18"/>
    </w:rPr>
  </w:style>
  <w:style w:type="character" w:customStyle="1" w:styleId="48">
    <w:name w:val="批注框文本 字符"/>
    <w:link w:val="17"/>
    <w:semiHidden/>
    <w:qFormat/>
    <w:uiPriority w:val="99"/>
    <w:rPr>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rPr>
  </w:style>
  <w:style w:type="character" w:customStyle="1" w:styleId="51">
    <w:name w:val="标题 字符"/>
    <w:link w:val="26"/>
    <w:qFormat/>
    <w:uiPriority w:val="0"/>
    <w:rPr>
      <w:rFonts w:ascii="Arial" w:hAnsi="Arial" w:eastAsia="宋体" w:cs="Arial"/>
      <w:b/>
      <w:bCs/>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rFonts w:ascii="Times New Roman" w:hAnsi="Times New Roman" w:eastAsia="宋体" w:cs="Times New Roman"/>
      <w:szCs w:val="20"/>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pPr>
  </w:style>
  <w:style w:type="paragraph" w:customStyle="1" w:styleId="94">
    <w:name w:val="标准文件_目录标题"/>
    <w:basedOn w:val="1"/>
    <w:qFormat/>
    <w:uiPriority w:val="0"/>
    <w:pPr>
      <w:spacing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ind w:left="0" w:firstLine="200"/>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ind w:left="993"/>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hAnsi="Times New Roman" w:eastAsia="宋体" w:cs="Times New Roman"/>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tabs>
        <w:tab w:val="left" w:pos="360"/>
        <w:tab w:val="left" w:pos="851"/>
      </w:tabs>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tabs>
        <w:tab w:val="left" w:pos="360"/>
        <w:tab w:val="left" w:pos="851"/>
      </w:tabs>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semiHidden/>
    <w:qFormat/>
    <w:uiPriority w:val="0"/>
    <w:pPr>
      <w:adjustRightInd/>
      <w:spacing w:line="240" w:lineRule="auto"/>
      <w:jc w:val="left"/>
    </w:pPr>
    <w:rPr>
      <w:bCs/>
      <w:iCs/>
    </w:rPr>
  </w:style>
  <w:style w:type="paragraph" w:customStyle="1" w:styleId="146">
    <w:name w:val="目录 31"/>
    <w:basedOn w:val="1"/>
    <w:next w:val="1"/>
    <w:semiHidden/>
    <w:qFormat/>
    <w:uiPriority w:val="0"/>
    <w:pPr>
      <w:spacing w:line="240" w:lineRule="auto"/>
    </w:pPr>
    <w:rPr>
      <w:rFonts w:ascii="宋体" w:hAnsi="宋体"/>
      <w:iCs/>
    </w:rPr>
  </w:style>
  <w:style w:type="paragraph" w:customStyle="1" w:styleId="147">
    <w:name w:val="目录 41"/>
    <w:basedOn w:val="1"/>
    <w:next w:val="1"/>
    <w:semiHidden/>
    <w:qFormat/>
    <w:uiPriority w:val="0"/>
    <w:pPr>
      <w:adjustRightInd/>
      <w:spacing w:line="240" w:lineRule="auto"/>
      <w:jc w:val="left"/>
    </w:pPr>
  </w:style>
  <w:style w:type="paragraph" w:customStyle="1" w:styleId="148">
    <w:name w:val="目录 51"/>
    <w:basedOn w:val="1"/>
    <w:next w:val="1"/>
    <w:semiHidden/>
    <w:qFormat/>
    <w:uiPriority w:val="0"/>
    <w:pPr>
      <w:spacing w:line="240" w:lineRule="auto"/>
    </w:pPr>
    <w:rPr>
      <w:rFonts w:ascii="宋体" w:hAnsi="宋体"/>
    </w:rPr>
  </w:style>
  <w:style w:type="paragraph" w:customStyle="1" w:styleId="149">
    <w:name w:val="目录 61"/>
    <w:basedOn w:val="1"/>
    <w:next w:val="1"/>
    <w:semiHidden/>
    <w:qFormat/>
    <w:uiPriority w:val="0"/>
    <w:pPr>
      <w:adjustRightInd/>
      <w:spacing w:line="240" w:lineRule="auto"/>
      <w:jc w:val="left"/>
    </w:pPr>
  </w:style>
  <w:style w:type="paragraph" w:customStyle="1" w:styleId="150">
    <w:name w:val="目录 71"/>
    <w:basedOn w:val="149"/>
    <w:semiHidden/>
    <w:qFormat/>
    <w:uiPriority w:val="0"/>
    <w:pPr>
      <w:ind w:left="1260"/>
    </w:pPr>
  </w:style>
  <w:style w:type="paragraph" w:customStyle="1" w:styleId="151">
    <w:name w:val="目录 81"/>
    <w:basedOn w:val="150"/>
    <w:semiHidden/>
    <w:qFormat/>
    <w:uiPriority w:val="0"/>
    <w:pPr>
      <w:ind w:left="1470"/>
    </w:pPr>
  </w:style>
  <w:style w:type="paragraph" w:customStyle="1" w:styleId="152">
    <w:name w:val="目录 91"/>
    <w:basedOn w:val="151"/>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qFormat/>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qFormat/>
    <w:uiPriority w:val="0"/>
    <w:pPr>
      <w:numPr>
        <w:ilvl w:val="0"/>
        <w:numId w:val="25"/>
      </w:numPr>
      <w:adjustRightInd/>
      <w:spacing w:line="240" w:lineRule="auto"/>
      <w:ind w:left="783"/>
    </w:pPr>
    <w:rPr>
      <w:rFonts w:ascii="宋体" w:hAnsi="Times New Roman"/>
      <w:sz w:val="18"/>
      <w:szCs w:val="18"/>
    </w:rPr>
  </w:style>
  <w:style w:type="paragraph" w:customStyle="1" w:styleId="177">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qFormat/>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qFormat/>
    <w:uiPriority w:val="99"/>
    <w:rPr>
      <w:color w:val="808080"/>
    </w:rPr>
  </w:style>
  <w:style w:type="paragraph" w:customStyle="1" w:styleId="190">
    <w:name w:val="标准文件_二级项2"/>
    <w:basedOn w:val="59"/>
    <w:qFormat/>
    <w:uiPriority w:val="0"/>
    <w:pPr>
      <w:numPr>
        <w:ilvl w:val="1"/>
        <w:numId w:val="21"/>
      </w:numPr>
      <w:ind w:left="1271" w:hanging="420" w:firstLineChars="0"/>
    </w:pPr>
  </w:style>
  <w:style w:type="paragraph" w:customStyle="1" w:styleId="191">
    <w:name w:val="标准文件_三级项2"/>
    <w:basedOn w:val="59"/>
    <w:qFormat/>
    <w:uiPriority w:val="0"/>
    <w:pPr>
      <w:numPr>
        <w:ilvl w:val="0"/>
        <w:numId w:val="30"/>
      </w:numPr>
      <w:spacing w:line="300" w:lineRule="exact"/>
      <w:ind w:left="1276" w:hanging="425" w:firstLineChars="0"/>
    </w:pPr>
    <w:rPr>
      <w:rFonts w:ascii="Times New Roman"/>
    </w:rPr>
  </w:style>
  <w:style w:type="paragraph" w:customStyle="1" w:styleId="192">
    <w:name w:val="标准文件_一级项2"/>
    <w:basedOn w:val="59"/>
    <w:qFormat/>
    <w:uiPriority w:val="0"/>
    <w:pPr>
      <w:numPr>
        <w:ilvl w:val="0"/>
        <w:numId w:val="31"/>
      </w:numPr>
      <w:spacing w:line="300" w:lineRule="exact"/>
      <w:ind w:left="1271" w:hanging="420"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qFormat/>
    <w:uiPriority w:val="0"/>
    <w:pPr>
      <w:framePr w:w="3997" w:h="471" w:hRule="exact" w:hSpace="0" w:vSpace="181" w:wrap="around" w:vAnchor="page" w:hAnchor="page" w:x="1419" w:y="14097"/>
    </w:pPr>
  </w:style>
  <w:style w:type="paragraph" w:customStyle="1" w:styleId="197">
    <w:name w:val="其他实施日期"/>
    <w:basedOn w:val="157"/>
    <w:qFormat/>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qFormat/>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table" w:customStyle="1" w:styleId="232">
    <w:name w:val="网格型1"/>
    <w:basedOn w:val="28"/>
    <w:qFormat/>
    <w:uiPriority w:val="99"/>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33">
    <w:name w:val="网格型2"/>
    <w:basedOn w:val="28"/>
    <w:qFormat/>
    <w:uiPriority w:val="99"/>
    <w:rPr>
      <w:rFonts w:ascii="Times New Roman" w:hAnsi="Times New Roman"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34">
    <w:name w:val="List Paragraph"/>
    <w:basedOn w:val="1"/>
    <w:qFormat/>
    <w:uiPriority w:val="99"/>
    <w:pPr>
      <w:ind w:firstLine="420" w:firstLineChars="200"/>
    </w:pPr>
  </w:style>
  <w:style w:type="character" w:customStyle="1" w:styleId="235">
    <w:name w:val="批注文字 字符"/>
    <w:basedOn w:val="30"/>
    <w:link w:val="13"/>
    <w:semiHidden/>
    <w:qFormat/>
    <w:uiPriority w:val="99"/>
    <w:rPr>
      <w:kern w:val="2"/>
      <w:sz w:val="21"/>
      <w:szCs w:val="21"/>
    </w:rPr>
  </w:style>
  <w:style w:type="character" w:customStyle="1" w:styleId="236">
    <w:name w:val="批注主题 字符"/>
    <w:basedOn w:val="235"/>
    <w:link w:val="27"/>
    <w:semiHidden/>
    <w:qFormat/>
    <w:uiPriority w:val="99"/>
    <w:rPr>
      <w:b/>
      <w:bCs/>
      <w:kern w:val="2"/>
      <w:sz w:val="21"/>
      <w:szCs w:val="21"/>
    </w:rPr>
  </w:style>
  <w:style w:type="paragraph" w:customStyle="1" w:styleId="237">
    <w:name w:val="列出段落1"/>
    <w:basedOn w:val="1"/>
    <w:qFormat/>
    <w:uiPriority w:val="34"/>
    <w:pPr>
      <w:ind w:firstLine="420" w:firstLineChars="200"/>
    </w:pPr>
  </w:style>
  <w:style w:type="paragraph" w:customStyle="1" w:styleId="238">
    <w:name w:val="修订1"/>
    <w:hidden/>
    <w:semiHidden/>
    <w:qFormat/>
    <w:uiPriority w:val="99"/>
    <w:rPr>
      <w:rFonts w:ascii="Calibri" w:hAnsi="Calibri" w:eastAsia="宋体" w:cs="Times New Roman"/>
      <w:kern w:val="2"/>
      <w:sz w:val="21"/>
      <w:szCs w:val="21"/>
      <w:lang w:val="en-US" w:eastAsia="zh-CN" w:bidi="ar-SA"/>
    </w:rPr>
  </w:style>
  <w:style w:type="paragraph" w:customStyle="1" w:styleId="239">
    <w:name w:val="修订2"/>
    <w:hidden/>
    <w:semiHidden/>
    <w:qFormat/>
    <w:uiPriority w:val="99"/>
    <w:rPr>
      <w:rFonts w:ascii="Calibri" w:hAnsi="Calibri" w:eastAsia="宋体" w:cs="Times New Roman"/>
      <w:kern w:val="2"/>
      <w:sz w:val="21"/>
      <w:szCs w:val="21"/>
      <w:lang w:val="en-US" w:eastAsia="zh-CN" w:bidi="ar-SA"/>
    </w:rPr>
  </w:style>
  <w:style w:type="paragraph" w:customStyle="1" w:styleId="240">
    <w:name w:val="正文1"/>
    <w:qFormat/>
    <w:uiPriority w:val="0"/>
    <w:pPr>
      <w:jc w:val="both"/>
    </w:pPr>
    <w:rPr>
      <w:rFonts w:ascii="Calibri" w:hAnsi="Calibri" w:eastAsia="宋体" w:cs="Calibri"/>
      <w:kern w:val="2"/>
      <w:sz w:val="21"/>
      <w:szCs w:val="21"/>
      <w:lang w:val="en-US" w:eastAsia="zh-CN" w:bidi="ar-SA"/>
    </w:rPr>
  </w:style>
  <w:style w:type="paragraph" w:customStyle="1" w:styleId="241">
    <w:name w:val="段"/>
    <w:link w:val="242"/>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2">
    <w:name w:val="段 Char"/>
    <w:link w:val="241"/>
    <w:qFormat/>
    <w:uiPriority w:val="99"/>
    <w:rPr>
      <w:rFonts w:ascii="宋体" w:hAnsi="Times New Roman"/>
      <w:sz w:val="21"/>
    </w:rPr>
  </w:style>
  <w:style w:type="paragraph" w:customStyle="1" w:styleId="243">
    <w:name w:val="正文2"/>
    <w:qFormat/>
    <w:uiPriority w:val="0"/>
    <w:pPr>
      <w:jc w:val="both"/>
    </w:pPr>
    <w:rPr>
      <w:rFonts w:ascii="Calibri" w:hAnsi="Calibri" w:eastAsia="宋体" w:cs="Calibri"/>
      <w:kern w:val="2"/>
      <w:sz w:val="21"/>
      <w:szCs w:val="21"/>
      <w:lang w:val="en-US" w:eastAsia="zh-CN" w:bidi="ar-SA"/>
    </w:rPr>
  </w:style>
  <w:style w:type="paragraph" w:customStyle="1" w:styleId="244">
    <w:name w:val="Normal"/>
    <w:qFormat/>
    <w:uiPriority w:val="0"/>
    <w:pPr>
      <w:jc w:val="both"/>
    </w:pPr>
    <w:rPr>
      <w:rFonts w:ascii="Calibri" w:hAnsi="Calibri" w:eastAsia="宋体" w:cs="Calibri"/>
      <w:kern w:val="2"/>
      <w:sz w:val="21"/>
      <w:szCs w:val="21"/>
      <w:lang w:val="en-US" w:eastAsia="zh-CN" w:bidi="ar-SA"/>
    </w:rPr>
  </w:style>
  <w:style w:type="paragraph" w:customStyle="1" w:styleId="245">
    <w:name w:val="Revision"/>
    <w:hidden/>
    <w:semiHidden/>
    <w:qFormat/>
    <w:uiPriority w:val="99"/>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tiff"/><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1B8D86DE5654898BA973FD44F603FA3"/>
        <w:style w:val=""/>
        <w:category>
          <w:name w:val="常规"/>
          <w:gallery w:val="placeholder"/>
        </w:category>
        <w:types>
          <w:type w:val="bbPlcHdr"/>
        </w:types>
        <w:behaviors>
          <w:behavior w:val="content"/>
        </w:behaviors>
        <w:description w:val=""/>
        <w:guid w:val="{5DA0EC4A-5A0E-422D-9B26-77112B1A1FB4}"/>
      </w:docPartPr>
      <w:docPartBody>
        <w:p>
          <w:pPr>
            <w:pStyle w:val="5"/>
          </w:pPr>
          <w:r>
            <w:rPr>
              <w:rStyle w:val="4"/>
              <w:rFonts w:hint="eastAsia"/>
            </w:rPr>
            <w:t>单击或点击此处输入文字。</w:t>
          </w:r>
        </w:p>
      </w:docPartBody>
    </w:docPart>
    <w:docPart>
      <w:docPartPr>
        <w:name w:val="F8C27F1D06014003B8052EBF81CD1D6E"/>
        <w:style w:val=""/>
        <w:category>
          <w:name w:val="常规"/>
          <w:gallery w:val="placeholder"/>
        </w:category>
        <w:types>
          <w:type w:val="bbPlcHdr"/>
        </w:types>
        <w:behaviors>
          <w:behavior w:val="content"/>
        </w:behaviors>
        <w:description w:val=""/>
        <w:guid w:val="{56C4743A-C987-46F0-8378-C0B9D07E451D}"/>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E55"/>
    <w:rsid w:val="00025892"/>
    <w:rsid w:val="000B2AFF"/>
    <w:rsid w:val="000B70FF"/>
    <w:rsid w:val="001240C5"/>
    <w:rsid w:val="001431E9"/>
    <w:rsid w:val="00184E79"/>
    <w:rsid w:val="00194A26"/>
    <w:rsid w:val="0025271F"/>
    <w:rsid w:val="002755AD"/>
    <w:rsid w:val="002D6B61"/>
    <w:rsid w:val="00380755"/>
    <w:rsid w:val="003E6C76"/>
    <w:rsid w:val="00481691"/>
    <w:rsid w:val="004A7B99"/>
    <w:rsid w:val="004F6707"/>
    <w:rsid w:val="00516E55"/>
    <w:rsid w:val="005267AD"/>
    <w:rsid w:val="005F392D"/>
    <w:rsid w:val="00606C9F"/>
    <w:rsid w:val="006504FB"/>
    <w:rsid w:val="006E6C1F"/>
    <w:rsid w:val="00726645"/>
    <w:rsid w:val="00824001"/>
    <w:rsid w:val="00850864"/>
    <w:rsid w:val="008B47E3"/>
    <w:rsid w:val="00900BFE"/>
    <w:rsid w:val="00913524"/>
    <w:rsid w:val="00967918"/>
    <w:rsid w:val="009A2499"/>
    <w:rsid w:val="009C2731"/>
    <w:rsid w:val="009C6551"/>
    <w:rsid w:val="00A56D34"/>
    <w:rsid w:val="00A72177"/>
    <w:rsid w:val="00B55EC6"/>
    <w:rsid w:val="00BF55B1"/>
    <w:rsid w:val="00C343DD"/>
    <w:rsid w:val="00CD6A10"/>
    <w:rsid w:val="00D14E85"/>
    <w:rsid w:val="00D213C4"/>
    <w:rsid w:val="00D616B5"/>
    <w:rsid w:val="00DA4CCF"/>
    <w:rsid w:val="00E86C73"/>
    <w:rsid w:val="00F35568"/>
    <w:rsid w:val="00F60893"/>
    <w:rsid w:val="00F96197"/>
    <w:rsid w:val="00FF4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1B8D86DE5654898BA973FD44F603F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8C27F1D06014003B8052EBF81CD1D6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B9BA2D-66B5-4977-ADF2-A2274953CB41}">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31</Pages>
  <Words>19322</Words>
  <Characters>20315</Characters>
  <Lines>160</Lines>
  <Paragraphs>45</Paragraphs>
  <TotalTime>2101</TotalTime>
  <ScaleCrop>false</ScaleCrop>
  <LinksUpToDate>false</LinksUpToDate>
  <CharactersWithSpaces>20699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2022-05-25T08:53:00Z</dcterms:created>
  <dc:creator>诗诗</dc:creator>
  <dc:description>&lt;config cover="true" show_menu="true" version="1.0.0" doctype="SDKXY"&gt;_x000d_
&lt;/config&gt;</dc:description>
  <cp:lastModifiedBy>李诗婧</cp:lastModifiedBy>
  <cp:lastPrinted>2021-02-02T07:44:00Z</cp:lastPrinted>
  <dcterms:modified xsi:type="dcterms:W3CDTF">2022-08-25T01:04:07Z</dcterms:modified>
  <dc:title>国家标准</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2052-11.1.0.12302</vt:lpwstr>
  </property>
  <property fmtid="{D5CDD505-2E9C-101B-9397-08002B2CF9AE}" pid="15" name="ICV">
    <vt:lpwstr>0EB01FB2C1EF4B45BD006634AEABEF85</vt:lpwstr>
  </property>
  <property fmtid="{D5CDD505-2E9C-101B-9397-08002B2CF9AE}" pid="16" name="commondata">
    <vt:lpwstr>eyJoZGlkIjoiN2YzNjBkOTgyNWQ1YTMxYzM3MzMwNWFiODNmOWIzYWMifQ==</vt:lpwstr>
  </property>
</Properties>
</file>